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7E009">
      <w:pPr>
        <w:rPr>
          <w:rFonts w:ascii="新宋体" w:hAnsi="新宋体" w:eastAsia="新宋体"/>
        </w:rPr>
      </w:pPr>
      <w:bookmarkStart w:id="0" w:name="_GoBack"/>
      <w:bookmarkEnd w:id="0"/>
      <w:r>
        <w:rPr>
          <w:rFonts w:hint="eastAsia"/>
          <w:spacing w:val="20"/>
          <w:sz w:val="32"/>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11430</wp:posOffset>
                </wp:positionV>
                <wp:extent cx="1800225" cy="285750"/>
                <wp:effectExtent l="4445" t="4445" r="5080" b="14605"/>
                <wp:wrapNone/>
                <wp:docPr id="1" name="文本框 2"/>
                <wp:cNvGraphicFramePr/>
                <a:graphic xmlns:a="http://schemas.openxmlformats.org/drawingml/2006/main">
                  <a:graphicData uri="http://schemas.microsoft.com/office/word/2010/wordprocessingShape">
                    <wps:wsp>
                      <wps:cNvSpPr txBox="1"/>
                      <wps:spPr>
                        <a:xfrm>
                          <a:off x="0" y="0"/>
                          <a:ext cx="18002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857EEA">
                            <w:pPr>
                              <w:rPr>
                                <w:rFonts w:ascii="新宋体" w:hAnsi="新宋体" w:eastAsia="新宋体"/>
                                <w:sz w:val="24"/>
                                <w:szCs w:val="24"/>
                              </w:rPr>
                            </w:pPr>
                            <w:r>
                              <w:rPr>
                                <w:rFonts w:hint="eastAsia" w:ascii="新宋体" w:hAnsi="新宋体" w:eastAsia="新宋体"/>
                                <w:sz w:val="24"/>
                                <w:szCs w:val="24"/>
                              </w:rPr>
                              <w:t>课题编号：</w:t>
                            </w:r>
                          </w:p>
                        </w:txbxContent>
                      </wps:txbx>
                      <wps:bodyPr wrap="square" upright="1"/>
                    </wps:wsp>
                  </a:graphicData>
                </a:graphic>
              </wp:anchor>
            </w:drawing>
          </mc:Choice>
          <mc:Fallback>
            <w:pict>
              <v:shape id="文本框 2" o:spid="_x0000_s1026" o:spt="202" type="#_x0000_t202" style="position:absolute;left:0pt;margin-left:5.45pt;margin-top:0.9pt;height:22.5pt;width:141.75pt;z-index:251659264;mso-width-relative:page;mso-height-relative:page;" fillcolor="#FFFFFF" filled="t" stroked="t" coordsize="21600,21600" o:gfxdata="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8H/tbWAAAABwEAAA8AAAAAAAAA&#10;AQAgAAAAIgAAAGRycy9kb3ducmV2LnhtbFBLAQIUABQAAAAIAIdO4kByEvz/EwIAAEQEAAAOAAAA&#10;AAAAAAEAIAAAACUBAABkcnMvZTJvRG9jLnhtbFBLBQYAAAAABgAGAFkBAACqBQAAAAA=&#10;">
                <v:fill on="t" focussize="0,0"/>
                <v:stroke color="#000000" joinstyle="miter"/>
                <v:imagedata o:title=""/>
                <o:lock v:ext="edit" aspectratio="f"/>
                <v:textbox>
                  <w:txbxContent>
                    <w:p w14:paraId="2E857EEA">
                      <w:pPr>
                        <w:rPr>
                          <w:rFonts w:ascii="新宋体" w:hAnsi="新宋体" w:eastAsia="新宋体"/>
                          <w:sz w:val="24"/>
                          <w:szCs w:val="24"/>
                        </w:rPr>
                      </w:pPr>
                      <w:r>
                        <w:rPr>
                          <w:rFonts w:hint="eastAsia" w:ascii="新宋体" w:hAnsi="新宋体" w:eastAsia="新宋体"/>
                          <w:sz w:val="24"/>
                          <w:szCs w:val="24"/>
                        </w:rPr>
                        <w:t>课题编号：</w:t>
                      </w:r>
                    </w:p>
                  </w:txbxContent>
                </v:textbox>
              </v:shape>
            </w:pict>
          </mc:Fallback>
        </mc:AlternateContent>
      </w:r>
    </w:p>
    <w:p w14:paraId="15733400">
      <w:pPr>
        <w:rPr>
          <w:rFonts w:ascii="新宋体" w:hAnsi="新宋体" w:eastAsia="新宋体"/>
        </w:rPr>
      </w:pPr>
    </w:p>
    <w:p w14:paraId="50474A3D">
      <w:pPr>
        <w:rPr>
          <w:rFonts w:ascii="新宋体" w:hAnsi="新宋体" w:eastAsia="新宋体"/>
        </w:rPr>
      </w:pPr>
    </w:p>
    <w:p w14:paraId="3270E03A">
      <w:pPr>
        <w:rPr>
          <w:rFonts w:ascii="新宋体" w:hAnsi="新宋体" w:eastAsia="新宋体"/>
        </w:rPr>
      </w:pPr>
    </w:p>
    <w:p w14:paraId="240E3C19">
      <w:pPr>
        <w:rPr>
          <w:rFonts w:ascii="新宋体" w:hAnsi="新宋体" w:eastAsia="新宋体"/>
        </w:rPr>
      </w:pPr>
    </w:p>
    <w:p w14:paraId="23E240E0">
      <w:pPr>
        <w:rPr>
          <w:rFonts w:ascii="新宋体" w:hAnsi="新宋体" w:eastAsia="新宋体"/>
        </w:rPr>
      </w:pPr>
    </w:p>
    <w:p w14:paraId="5C690724">
      <w:pPr>
        <w:jc w:val="center"/>
        <w:rPr>
          <w:rFonts w:ascii="新宋体" w:hAnsi="新宋体" w:eastAsia="新宋体"/>
          <w:b/>
          <w:w w:val="66"/>
          <w:sz w:val="84"/>
          <w:szCs w:val="84"/>
        </w:rPr>
      </w:pPr>
      <w:r>
        <w:rPr>
          <w:rFonts w:hint="eastAsia" w:ascii="新宋体" w:hAnsi="新宋体" w:eastAsia="新宋体"/>
          <w:b/>
          <w:w w:val="66"/>
          <w:sz w:val="84"/>
          <w:szCs w:val="84"/>
          <w:lang w:eastAsia="zh-CN"/>
        </w:rPr>
        <w:t>xx</w:t>
      </w:r>
      <w:r>
        <w:rPr>
          <w:rFonts w:hint="eastAsia" w:ascii="新宋体" w:hAnsi="新宋体" w:eastAsia="新宋体"/>
          <w:b/>
          <w:w w:val="66"/>
          <w:sz w:val="84"/>
          <w:szCs w:val="84"/>
        </w:rPr>
        <w:t>省教育科学规划课题</w:t>
      </w:r>
    </w:p>
    <w:p w14:paraId="42D1AC87">
      <w:pPr>
        <w:rPr>
          <w:rFonts w:ascii="新宋体" w:hAnsi="新宋体" w:eastAsia="新宋体"/>
        </w:rPr>
      </w:pPr>
    </w:p>
    <w:p w14:paraId="1C70DB51">
      <w:pPr>
        <w:jc w:val="center"/>
        <w:rPr>
          <w:rFonts w:ascii="新宋体" w:hAnsi="新宋体" w:eastAsia="新宋体"/>
          <w:b/>
          <w:w w:val="80"/>
          <w:sz w:val="72"/>
          <w:szCs w:val="72"/>
        </w:rPr>
      </w:pPr>
      <w:r>
        <w:rPr>
          <w:rFonts w:hint="eastAsia" w:ascii="新宋体" w:hAnsi="新宋体" w:eastAsia="新宋体"/>
          <w:b/>
          <w:w w:val="80"/>
          <w:sz w:val="72"/>
          <w:szCs w:val="72"/>
        </w:rPr>
        <w:t>申   请   书</w:t>
      </w:r>
    </w:p>
    <w:p w14:paraId="3C699DCA">
      <w:pPr>
        <w:rPr>
          <w:rFonts w:ascii="新宋体" w:hAnsi="新宋体" w:eastAsia="新宋体"/>
        </w:rPr>
      </w:pPr>
    </w:p>
    <w:p w14:paraId="66504261">
      <w:pPr>
        <w:rPr>
          <w:rFonts w:ascii="新宋体" w:hAnsi="新宋体" w:eastAsia="新宋体"/>
        </w:rPr>
      </w:pPr>
    </w:p>
    <w:p w14:paraId="5C9E41E8">
      <w:pPr>
        <w:ind w:firstLine="630"/>
        <w:rPr>
          <w:rFonts w:ascii="新宋体" w:hAnsi="新宋体" w:eastAsia="新宋体"/>
          <w:sz w:val="32"/>
        </w:rPr>
      </w:pPr>
    </w:p>
    <w:p w14:paraId="3EC242D9">
      <w:pPr>
        <w:ind w:firstLine="630"/>
        <w:rPr>
          <w:rFonts w:ascii="新宋体" w:hAnsi="新宋体" w:eastAsia="新宋体"/>
          <w:sz w:val="32"/>
        </w:rPr>
      </w:pPr>
    </w:p>
    <w:p w14:paraId="66863ECE">
      <w:pPr>
        <w:spacing w:before="156" w:beforeLines="50"/>
        <w:ind w:firstLine="630"/>
        <w:rPr>
          <w:rFonts w:ascii="新宋体" w:hAnsi="新宋体" w:eastAsia="新宋体"/>
          <w:sz w:val="32"/>
        </w:rPr>
      </w:pPr>
      <w:r>
        <w:rPr>
          <w:rFonts w:hint="eastAsia" w:ascii="新宋体" w:hAnsi="新宋体" w:eastAsia="新宋体"/>
          <w:sz w:val="32"/>
          <w:szCs w:val="32"/>
        </w:rPr>
        <w:t>课</w:t>
      </w:r>
      <w:r>
        <w:rPr>
          <w:rFonts w:ascii="新宋体" w:hAnsi="新宋体" w:eastAsia="新宋体"/>
          <w:sz w:val="32"/>
          <w:szCs w:val="32"/>
        </w:rPr>
        <w:t xml:space="preserve">  </w:t>
      </w:r>
      <w:r>
        <w:rPr>
          <w:rFonts w:hint="eastAsia" w:ascii="新宋体" w:hAnsi="新宋体" w:eastAsia="新宋体"/>
          <w:sz w:val="32"/>
          <w:szCs w:val="32"/>
        </w:rPr>
        <w:t>题</w:t>
      </w:r>
      <w:r>
        <w:rPr>
          <w:rFonts w:ascii="新宋体" w:hAnsi="新宋体" w:eastAsia="新宋体"/>
          <w:sz w:val="32"/>
          <w:szCs w:val="32"/>
        </w:rPr>
        <w:t xml:space="preserve">  </w:t>
      </w:r>
      <w:r>
        <w:rPr>
          <w:rFonts w:hint="eastAsia" w:ascii="新宋体" w:hAnsi="新宋体" w:eastAsia="新宋体"/>
          <w:sz w:val="32"/>
          <w:szCs w:val="32"/>
        </w:rPr>
        <w:t>名</w:t>
      </w:r>
      <w:r>
        <w:rPr>
          <w:rFonts w:ascii="新宋体" w:hAnsi="新宋体" w:eastAsia="新宋体"/>
          <w:sz w:val="32"/>
          <w:szCs w:val="32"/>
        </w:rPr>
        <w:t xml:space="preserve">  </w:t>
      </w:r>
      <w:r>
        <w:rPr>
          <w:rFonts w:hint="eastAsia" w:ascii="新宋体" w:hAnsi="新宋体" w:eastAsia="新宋体"/>
          <w:sz w:val="32"/>
          <w:szCs w:val="32"/>
        </w:rPr>
        <w:t>称</w:t>
      </w:r>
      <w:r>
        <w:rPr>
          <w:rFonts w:hint="eastAsia" w:ascii="新宋体" w:hAnsi="新宋体" w:eastAsia="新宋体"/>
          <w:sz w:val="32"/>
          <w:szCs w:val="32"/>
          <w:u w:val="single"/>
        </w:rPr>
        <w:t xml:space="preserve">                                   </w:t>
      </w:r>
    </w:p>
    <w:p w14:paraId="4185229C">
      <w:pPr>
        <w:spacing w:before="156" w:beforeLines="50"/>
        <w:rPr>
          <w:rFonts w:ascii="新宋体" w:hAnsi="新宋体" w:eastAsia="新宋体"/>
          <w:sz w:val="32"/>
          <w:szCs w:val="32"/>
        </w:rPr>
      </w:pPr>
      <w:r>
        <w:rPr>
          <w:rFonts w:ascii="新宋体" w:hAnsi="新宋体" w:eastAsia="新宋体"/>
          <w:sz w:val="32"/>
          <w:szCs w:val="32"/>
        </w:rPr>
        <w:t xml:space="preserve">    </w:t>
      </w:r>
      <w:r>
        <w:rPr>
          <w:rFonts w:hint="eastAsia" w:ascii="新宋体" w:hAnsi="新宋体" w:eastAsia="新宋体"/>
          <w:sz w:val="32"/>
          <w:szCs w:val="32"/>
        </w:rPr>
        <w:t>课  题  类  别</w:t>
      </w:r>
      <w:r>
        <w:rPr>
          <w:rFonts w:hint="eastAsia" w:ascii="新宋体" w:hAnsi="新宋体" w:eastAsia="新宋体"/>
          <w:sz w:val="32"/>
          <w:szCs w:val="32"/>
          <w:u w:val="single"/>
        </w:rPr>
        <w:t xml:space="preserve">                                   </w:t>
      </w:r>
      <w:r>
        <w:rPr>
          <w:rFonts w:hint="eastAsia" w:ascii="新宋体" w:hAnsi="新宋体" w:eastAsia="新宋体"/>
          <w:sz w:val="32"/>
          <w:szCs w:val="32"/>
        </w:rPr>
        <w:t xml:space="preserve">                                                      </w:t>
      </w:r>
    </w:p>
    <w:p w14:paraId="2AD0373F">
      <w:pPr>
        <w:spacing w:before="156" w:beforeLines="50"/>
        <w:ind w:firstLine="640" w:firstLineChars="200"/>
        <w:rPr>
          <w:rFonts w:ascii="新宋体" w:hAnsi="新宋体" w:eastAsia="新宋体"/>
          <w:sz w:val="32"/>
          <w:szCs w:val="32"/>
        </w:rPr>
      </w:pPr>
      <w:r>
        <w:rPr>
          <w:rFonts w:hint="eastAsia" w:ascii="新宋体" w:hAnsi="新宋体" w:eastAsia="新宋体"/>
          <w:sz w:val="32"/>
          <w:szCs w:val="32"/>
        </w:rPr>
        <w:t>申</w:t>
      </w:r>
      <w:r>
        <w:rPr>
          <w:rFonts w:ascii="新宋体" w:hAnsi="新宋体" w:eastAsia="新宋体"/>
          <w:sz w:val="32"/>
          <w:szCs w:val="32"/>
        </w:rPr>
        <w:t xml:space="preserve"> </w:t>
      </w:r>
      <w:r>
        <w:rPr>
          <w:rFonts w:hint="eastAsia" w:ascii="新宋体" w:hAnsi="新宋体" w:eastAsia="新宋体"/>
          <w:sz w:val="32"/>
          <w:szCs w:val="32"/>
        </w:rPr>
        <w:t>请</w:t>
      </w:r>
      <w:r>
        <w:rPr>
          <w:rFonts w:ascii="新宋体" w:hAnsi="新宋体" w:eastAsia="新宋体"/>
          <w:sz w:val="32"/>
          <w:szCs w:val="32"/>
        </w:rPr>
        <w:t xml:space="preserve"> </w:t>
      </w:r>
      <w:r>
        <w:rPr>
          <w:rFonts w:hint="eastAsia" w:ascii="新宋体" w:hAnsi="新宋体" w:eastAsia="新宋体"/>
          <w:sz w:val="32"/>
          <w:szCs w:val="32"/>
        </w:rPr>
        <w:t>人 姓 名</w:t>
      </w:r>
      <w:r>
        <w:rPr>
          <w:rFonts w:hint="eastAsia" w:ascii="新宋体" w:hAnsi="新宋体" w:eastAsia="新宋体"/>
          <w:sz w:val="32"/>
          <w:szCs w:val="32"/>
          <w:u w:val="single"/>
        </w:rPr>
        <w:t xml:space="preserve">                                   </w:t>
      </w:r>
    </w:p>
    <w:p w14:paraId="6CF90369">
      <w:pPr>
        <w:spacing w:before="156" w:beforeLines="50"/>
        <w:ind w:firstLine="640" w:firstLineChars="200"/>
        <w:rPr>
          <w:rFonts w:ascii="新宋体" w:hAnsi="新宋体" w:eastAsia="新宋体"/>
          <w:sz w:val="32"/>
          <w:szCs w:val="32"/>
        </w:rPr>
      </w:pPr>
      <w:r>
        <w:rPr>
          <w:rFonts w:hint="eastAsia" w:ascii="新宋体" w:hAnsi="新宋体" w:eastAsia="新宋体"/>
          <w:sz w:val="32"/>
          <w:szCs w:val="32"/>
        </w:rPr>
        <w:t>申请人所在单位</w:t>
      </w:r>
      <w:r>
        <w:rPr>
          <w:rFonts w:hint="eastAsia" w:ascii="新宋体" w:hAnsi="新宋体" w:eastAsia="新宋体"/>
          <w:sz w:val="32"/>
          <w:szCs w:val="32"/>
          <w:u w:val="single"/>
        </w:rPr>
        <w:t xml:space="preserve">                                   </w:t>
      </w:r>
    </w:p>
    <w:p w14:paraId="2C91F5C8">
      <w:pPr>
        <w:spacing w:before="156" w:beforeLines="50"/>
        <w:ind w:firstLine="720" w:firstLineChars="200"/>
        <w:rPr>
          <w:rFonts w:ascii="新宋体" w:hAnsi="新宋体" w:eastAsia="新宋体"/>
          <w:sz w:val="32"/>
          <w:szCs w:val="32"/>
        </w:rPr>
      </w:pPr>
      <w:r>
        <w:rPr>
          <w:rFonts w:hint="eastAsia" w:ascii="新宋体" w:hAnsi="新宋体" w:eastAsia="新宋体"/>
          <w:spacing w:val="20"/>
          <w:sz w:val="32"/>
          <w:szCs w:val="32"/>
        </w:rPr>
        <w:t>所属教育类型</w:t>
      </w:r>
      <w:r>
        <w:rPr>
          <w:rFonts w:hint="eastAsia" w:ascii="新宋体" w:hAnsi="新宋体" w:eastAsia="新宋体"/>
          <w:sz w:val="32"/>
          <w:szCs w:val="32"/>
          <w:u w:val="single"/>
        </w:rPr>
        <w:t xml:space="preserve">                                   </w:t>
      </w:r>
    </w:p>
    <w:p w14:paraId="653D44B3">
      <w:pPr>
        <w:spacing w:before="156" w:beforeLines="50"/>
        <w:ind w:firstLine="630"/>
        <w:rPr>
          <w:rFonts w:ascii="新宋体" w:hAnsi="新宋体" w:eastAsia="新宋体"/>
          <w:sz w:val="32"/>
          <w:szCs w:val="32"/>
        </w:rPr>
      </w:pPr>
      <w:r>
        <w:rPr>
          <w:rFonts w:hint="eastAsia" w:ascii="新宋体" w:hAnsi="新宋体" w:eastAsia="新宋体"/>
          <w:sz w:val="32"/>
          <w:szCs w:val="32"/>
        </w:rPr>
        <w:t>申请人联系方式</w:t>
      </w:r>
      <w:r>
        <w:rPr>
          <w:rFonts w:hint="eastAsia" w:ascii="新宋体" w:hAnsi="新宋体" w:eastAsia="新宋体"/>
          <w:sz w:val="32"/>
          <w:szCs w:val="32"/>
          <w:u w:val="single"/>
        </w:rPr>
        <w:t xml:space="preserve">                                   </w:t>
      </w:r>
    </w:p>
    <w:p w14:paraId="4B6CE2DC">
      <w:pPr>
        <w:spacing w:before="156" w:beforeLines="50"/>
        <w:rPr>
          <w:rFonts w:ascii="新宋体" w:hAnsi="新宋体" w:eastAsia="新宋体"/>
          <w:sz w:val="32"/>
          <w:szCs w:val="32"/>
        </w:rPr>
      </w:pPr>
      <w:r>
        <w:rPr>
          <w:rFonts w:hint="eastAsia" w:ascii="新宋体" w:hAnsi="新宋体" w:eastAsia="新宋体"/>
          <w:sz w:val="32"/>
          <w:szCs w:val="32"/>
        </w:rPr>
        <w:t xml:space="preserve">    申  请</w:t>
      </w:r>
      <w:r>
        <w:rPr>
          <w:rFonts w:ascii="新宋体" w:hAnsi="新宋体" w:eastAsia="新宋体"/>
          <w:sz w:val="32"/>
          <w:szCs w:val="32"/>
        </w:rPr>
        <w:t xml:space="preserve"> </w:t>
      </w:r>
      <w:r>
        <w:rPr>
          <w:rFonts w:hint="eastAsia" w:ascii="新宋体" w:hAnsi="新宋体" w:eastAsia="新宋体"/>
          <w:sz w:val="32"/>
          <w:szCs w:val="32"/>
        </w:rPr>
        <w:t xml:space="preserve"> 日</w:t>
      </w:r>
      <w:r>
        <w:rPr>
          <w:rFonts w:ascii="新宋体" w:hAnsi="新宋体" w:eastAsia="新宋体"/>
          <w:sz w:val="32"/>
          <w:szCs w:val="32"/>
        </w:rPr>
        <w:t xml:space="preserve">  </w:t>
      </w:r>
      <w:r>
        <w:rPr>
          <w:rFonts w:hint="eastAsia" w:ascii="新宋体" w:hAnsi="新宋体" w:eastAsia="新宋体"/>
          <w:sz w:val="32"/>
          <w:szCs w:val="32"/>
        </w:rPr>
        <w:t>期</w:t>
      </w:r>
      <w:r>
        <w:rPr>
          <w:rFonts w:hint="eastAsia" w:ascii="新宋体" w:hAnsi="新宋体" w:eastAsia="新宋体"/>
          <w:sz w:val="32"/>
          <w:szCs w:val="32"/>
          <w:u w:val="single"/>
        </w:rPr>
        <w:t xml:space="preserve">                                   </w:t>
      </w:r>
    </w:p>
    <w:p w14:paraId="798A3D4A">
      <w:pPr>
        <w:rPr>
          <w:rFonts w:ascii="新宋体" w:hAnsi="新宋体" w:eastAsia="新宋体"/>
        </w:rPr>
      </w:pPr>
    </w:p>
    <w:p w14:paraId="2F679AC9">
      <w:pPr>
        <w:rPr>
          <w:rFonts w:ascii="新宋体" w:hAnsi="新宋体" w:eastAsia="新宋体"/>
        </w:rPr>
      </w:pPr>
    </w:p>
    <w:p w14:paraId="2838526D">
      <w:pPr>
        <w:jc w:val="center"/>
        <w:rPr>
          <w:rFonts w:ascii="新宋体" w:hAnsi="新宋体" w:eastAsia="新宋体"/>
          <w:sz w:val="32"/>
        </w:rPr>
      </w:pPr>
      <w:r>
        <w:rPr>
          <w:rFonts w:hint="eastAsia" w:ascii="新宋体" w:hAnsi="新宋体" w:eastAsia="新宋体"/>
          <w:sz w:val="32"/>
          <w:lang w:eastAsia="zh-CN"/>
        </w:rPr>
        <w:t>xx</w:t>
      </w:r>
      <w:r>
        <w:rPr>
          <w:rFonts w:hint="eastAsia" w:ascii="新宋体" w:hAnsi="新宋体" w:eastAsia="新宋体"/>
          <w:sz w:val="32"/>
        </w:rPr>
        <w:t>省教育科学研究领导小组办公室制</w:t>
      </w:r>
    </w:p>
    <w:p w14:paraId="4887ED50">
      <w:pPr>
        <w:jc w:val="center"/>
        <w:rPr>
          <w:rFonts w:ascii="新宋体" w:hAnsi="新宋体" w:eastAsia="新宋体"/>
          <w:sz w:val="32"/>
        </w:rPr>
      </w:pPr>
      <w:r>
        <w:rPr>
          <w:rFonts w:hint="eastAsia" w:ascii="新宋体" w:hAnsi="新宋体" w:eastAsia="新宋体"/>
          <w:sz w:val="32"/>
        </w:rPr>
        <w:t>（</w:t>
      </w:r>
      <w:r>
        <w:rPr>
          <w:rFonts w:ascii="新宋体" w:hAnsi="新宋体" w:eastAsia="新宋体"/>
          <w:sz w:val="32"/>
        </w:rPr>
        <w:t>20</w:t>
      </w:r>
      <w:r>
        <w:rPr>
          <w:rFonts w:hint="eastAsia" w:ascii="新宋体" w:hAnsi="新宋体" w:eastAsia="新宋体"/>
          <w:sz w:val="32"/>
          <w:lang w:val="en-US" w:eastAsia="zh-CN"/>
        </w:rPr>
        <w:t>xx</w:t>
      </w:r>
      <w:r>
        <w:rPr>
          <w:rFonts w:hint="eastAsia" w:ascii="新宋体" w:hAnsi="新宋体" w:eastAsia="新宋体"/>
          <w:sz w:val="32"/>
        </w:rPr>
        <w:t>年</w:t>
      </w:r>
      <w:r>
        <w:rPr>
          <w:rFonts w:hint="eastAsia" w:ascii="新宋体" w:hAnsi="新宋体" w:eastAsia="新宋体"/>
          <w:sz w:val="32"/>
          <w:lang w:val="en-US" w:eastAsia="zh-CN"/>
        </w:rPr>
        <w:t>x</w:t>
      </w:r>
      <w:r>
        <w:rPr>
          <w:rFonts w:hint="eastAsia" w:ascii="新宋体" w:hAnsi="新宋体" w:eastAsia="新宋体"/>
          <w:sz w:val="32"/>
        </w:rPr>
        <w:t>月）</w:t>
      </w:r>
    </w:p>
    <w:p w14:paraId="3E7FC91C">
      <w:pPr>
        <w:spacing w:line="420" w:lineRule="exact"/>
        <w:rPr>
          <w:rFonts w:ascii="新宋体" w:hAnsi="新宋体" w:eastAsia="新宋体"/>
          <w:sz w:val="28"/>
        </w:rPr>
      </w:pPr>
    </w:p>
    <w:p w14:paraId="384146E5">
      <w:pPr>
        <w:spacing w:line="420" w:lineRule="exact"/>
        <w:rPr>
          <w:rFonts w:ascii="新宋体" w:hAnsi="新宋体" w:eastAsia="新宋体"/>
          <w:sz w:val="28"/>
        </w:rPr>
      </w:pPr>
    </w:p>
    <w:p w14:paraId="65ABB4D6">
      <w:pPr>
        <w:spacing w:line="420" w:lineRule="exact"/>
        <w:rPr>
          <w:rFonts w:ascii="新宋体" w:hAnsi="新宋体" w:eastAsia="新宋体"/>
          <w:sz w:val="28"/>
        </w:rPr>
      </w:pPr>
    </w:p>
    <w:p w14:paraId="07B93BB1">
      <w:pPr>
        <w:spacing w:line="420" w:lineRule="exact"/>
        <w:rPr>
          <w:rFonts w:ascii="新宋体" w:hAnsi="新宋体" w:eastAsia="新宋体"/>
          <w:sz w:val="28"/>
        </w:rPr>
      </w:pPr>
    </w:p>
    <w:p w14:paraId="67ED51A5">
      <w:pPr>
        <w:numPr>
          <w:ilvl w:val="0"/>
          <w:numId w:val="1"/>
        </w:numPr>
        <w:spacing w:line="480" w:lineRule="auto"/>
        <w:jc w:val="left"/>
        <w:rPr>
          <w:rFonts w:ascii="新宋体" w:hAnsi="新宋体" w:eastAsia="新宋体"/>
          <w:b/>
          <w:color w:val="000000" w:themeColor="text1"/>
          <w:sz w:val="28"/>
          <w:szCs w:val="28"/>
          <w14:textFill>
            <w14:solidFill>
              <w14:schemeClr w14:val="tx1"/>
            </w14:solidFill>
          </w14:textFill>
        </w:rPr>
      </w:pPr>
      <w:r>
        <w:rPr>
          <w:rFonts w:hint="eastAsia" w:ascii="新宋体" w:hAnsi="新宋体" w:eastAsia="新宋体"/>
          <w:b/>
          <w:color w:val="000000" w:themeColor="text1"/>
          <w:sz w:val="28"/>
          <w:szCs w:val="28"/>
          <w14:textFill>
            <w14:solidFill>
              <w14:schemeClr w14:val="tx1"/>
            </w14:solidFill>
          </w14:textFill>
        </w:rPr>
        <w:t>课题论证</w:t>
      </w:r>
    </w:p>
    <w:p w14:paraId="69CA72A3">
      <w:pPr>
        <w:widowControl/>
        <w:spacing w:line="360" w:lineRule="auto"/>
        <w:ind w:firstLine="482" w:firstLineChars="200"/>
        <w:jc w:val="left"/>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本表参照以下提纲撰写，要求逻辑清晰，主题突出，层次分明，内容翔实，排版清晰。总字数不超过5000字。</w:t>
      </w:r>
      <w:r>
        <w:rPr>
          <w:rFonts w:hint="eastAsia" w:ascii="宋体" w:hAnsi="宋体" w:cs="宋体"/>
          <w:b/>
          <w:bCs/>
          <w:color w:val="000000" w:themeColor="text1"/>
          <w:sz w:val="24"/>
          <w:szCs w:val="24"/>
          <w14:textFill>
            <w14:solidFill>
              <w14:schemeClr w14:val="tx1"/>
            </w14:solidFill>
          </w14:textFill>
        </w:rPr>
        <w:t>需附主要参考文献目录。</w:t>
      </w:r>
    </w:p>
    <w:p w14:paraId="13A2166A">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w:t>
      </w:r>
      <w:r>
        <w:rPr>
          <w:rFonts w:hint="eastAsia" w:ascii="宋体"/>
          <w:b/>
          <w:color w:val="000000" w:themeColor="text1"/>
          <w:sz w:val="24"/>
          <w:szCs w:val="24"/>
          <w14:textFill>
            <w14:solidFill>
              <w14:schemeClr w14:val="tx1"/>
            </w14:solidFill>
          </w14:textFill>
        </w:rPr>
        <w:t>[选题依据]</w:t>
      </w:r>
      <w:r>
        <w:rPr>
          <w:rFonts w:hint="eastAsia" w:ascii="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研究意义、国内外研究现状及发展动态分析，需结合教育科学研究发展趋势论述其科学意义,或结合教育改革发展关键问题围绕指导教育实践、服务</w:t>
      </w:r>
      <w:r>
        <w:rPr>
          <w:rFonts w:hint="eastAsia" w:ascii="宋体" w:hAnsi="宋体" w:cs="宋体"/>
          <w:color w:val="000000" w:themeColor="text1"/>
          <w:sz w:val="24"/>
          <w:szCs w:val="24"/>
          <w:lang w:eastAsia="zh-CN"/>
          <w14:textFill>
            <w14:solidFill>
              <w14:schemeClr w14:val="tx1"/>
            </w14:solidFill>
          </w14:textFill>
        </w:rPr>
        <w:t>xx</w:t>
      </w:r>
      <w:r>
        <w:rPr>
          <w:rFonts w:hint="eastAsia" w:ascii="宋体" w:hAnsi="宋体" w:cs="宋体"/>
          <w:color w:val="000000" w:themeColor="text1"/>
          <w:sz w:val="24"/>
          <w:szCs w:val="24"/>
          <w14:textFill>
            <w14:solidFill>
              <w14:schemeClr w14:val="tx1"/>
            </w14:solidFill>
          </w14:textFill>
        </w:rPr>
        <w:t>全面振兴全方位振兴论述其应用价值。</w:t>
      </w:r>
    </w:p>
    <w:p w14:paraId="5DF797A7">
      <w:pPr>
        <w:tabs>
          <w:tab w:val="left" w:pos="2107"/>
        </w:tabs>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2.</w:t>
      </w:r>
      <w:r>
        <w:rPr>
          <w:rFonts w:hint="eastAsia" w:ascii="宋体"/>
          <w:b/>
          <w:color w:val="000000" w:themeColor="text1"/>
          <w:sz w:val="24"/>
          <w:szCs w:val="24"/>
          <w14:textFill>
            <w14:solidFill>
              <w14:schemeClr w14:val="tx1"/>
            </w14:solidFill>
          </w14:textFill>
        </w:rPr>
        <w:t xml:space="preserve">[研究设计]  </w:t>
      </w:r>
      <w:r>
        <w:rPr>
          <w:rFonts w:hint="eastAsia" w:ascii="宋体"/>
          <w:color w:val="000000" w:themeColor="text1"/>
          <w:sz w:val="24"/>
          <w:szCs w:val="24"/>
          <w14:textFill>
            <w14:solidFill>
              <w14:schemeClr w14:val="tx1"/>
            </w14:solidFill>
          </w14:textFill>
        </w:rPr>
        <w:t>本课题研究的主要目标、内容、拟解决的关键问题。</w:t>
      </w:r>
    </w:p>
    <w:p w14:paraId="1A32C4E6">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w:t>
      </w:r>
      <w:r>
        <w:rPr>
          <w:rFonts w:hint="eastAsia" w:ascii="宋体"/>
          <w:b/>
          <w:color w:val="000000" w:themeColor="text1"/>
          <w:sz w:val="24"/>
          <w:szCs w:val="24"/>
          <w14:textFill>
            <w14:solidFill>
              <w14:schemeClr w14:val="tx1"/>
            </w14:solidFill>
          </w14:textFill>
        </w:rPr>
        <w:t xml:space="preserve">[研究方案]  </w:t>
      </w:r>
      <w:r>
        <w:rPr>
          <w:rFonts w:hint="eastAsia" w:ascii="宋体"/>
          <w:color w:val="000000" w:themeColor="text1"/>
          <w:sz w:val="24"/>
          <w:szCs w:val="24"/>
          <w14:textFill>
            <w14:solidFill>
              <w14:schemeClr w14:val="tx1"/>
            </w14:solidFill>
          </w14:textFill>
        </w:rPr>
        <w:t>本课题的研究方法、研究思路、可行性分析等。</w:t>
      </w:r>
    </w:p>
    <w:p w14:paraId="2F7CC2AD">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4.</w:t>
      </w:r>
      <w:r>
        <w:rPr>
          <w:rFonts w:hint="eastAsia" w:ascii="宋体"/>
          <w:b/>
          <w:color w:val="000000" w:themeColor="text1"/>
          <w:sz w:val="24"/>
          <w:szCs w:val="24"/>
          <w14:textFill>
            <w14:solidFill>
              <w14:schemeClr w14:val="tx1"/>
            </w14:solidFill>
          </w14:textFill>
        </w:rPr>
        <w:t xml:space="preserve">[创新之处]  </w:t>
      </w:r>
      <w:r>
        <w:rPr>
          <w:rFonts w:hint="eastAsia" w:ascii="宋体"/>
          <w:color w:val="000000" w:themeColor="text1"/>
          <w:sz w:val="24"/>
          <w:szCs w:val="24"/>
          <w14:textFill>
            <w14:solidFill>
              <w14:schemeClr w14:val="tx1"/>
            </w14:solidFill>
          </w14:textFill>
        </w:rPr>
        <w:t>在学术观点、对策建议、研究方法等方面的特色和创新</w:t>
      </w:r>
      <w:r>
        <w:rPr>
          <w:rFonts w:hint="eastAsia" w:ascii="宋体"/>
          <w:b/>
          <w:color w:val="000000" w:themeColor="text1"/>
          <w:sz w:val="24"/>
          <w:szCs w:val="24"/>
          <w14:textFill>
            <w14:solidFill>
              <w14:schemeClr w14:val="tx1"/>
            </w14:solidFill>
          </w14:textFill>
        </w:rPr>
        <w:t>。</w:t>
      </w:r>
    </w:p>
    <w:p w14:paraId="2381BACD">
      <w:pPr>
        <w:spacing w:line="480" w:lineRule="auto"/>
        <w:jc w:val="left"/>
        <w:rPr>
          <w:rFonts w:ascii="新宋体" w:hAnsi="新宋体" w:eastAsia="新宋体"/>
          <w:b/>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5.</w:t>
      </w:r>
      <w:r>
        <w:rPr>
          <w:rFonts w:hint="eastAsia" w:ascii="宋体"/>
          <w:b/>
          <w:color w:val="000000" w:themeColor="text1"/>
          <w:sz w:val="24"/>
          <w:szCs w:val="24"/>
          <w14:textFill>
            <w14:solidFill>
              <w14:schemeClr w14:val="tx1"/>
            </w14:solidFill>
          </w14:textFill>
        </w:rPr>
        <w:t xml:space="preserve">[预期成果]  </w:t>
      </w:r>
      <w:r>
        <w:rPr>
          <w:rFonts w:hint="eastAsia" w:ascii="宋体"/>
          <w:color w:val="000000" w:themeColor="text1"/>
          <w:sz w:val="24"/>
          <w:szCs w:val="24"/>
          <w14:textFill>
            <w14:solidFill>
              <w14:schemeClr w14:val="tx1"/>
            </w14:solidFill>
          </w14:textFill>
        </w:rPr>
        <w:t>成果形式、使用去向及预期效益等。（略写）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293"/>
      </w:tblGrid>
      <w:tr w14:paraId="26F6CA1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0293" w:type="dxa"/>
          </w:tcPr>
          <w:p w14:paraId="1A855041">
            <w:pPr>
              <w:numPr>
                <w:ilvl w:val="0"/>
                <w:numId w:val="0"/>
              </w:num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选题依据</w:t>
            </w:r>
          </w:p>
          <w:p w14:paraId="29D5402A">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研究现状</w:t>
            </w:r>
          </w:p>
          <w:p w14:paraId="0E2A8E68">
            <w:pPr>
              <w:numPr>
                <w:ilvl w:val="0"/>
                <w:numId w:val="2"/>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国内研究</w:t>
            </w:r>
          </w:p>
          <w:p w14:paraId="595799C7">
            <w:pPr>
              <w:numPr>
                <w:ilvl w:val="0"/>
                <w:numId w:val="3"/>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关于课程思政的研究</w:t>
            </w:r>
          </w:p>
          <w:p w14:paraId="1C0C24C6">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①课程思政内涵研究</w:t>
            </w:r>
          </w:p>
          <w:p w14:paraId="2D5CC0EF">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依据现实发现，学术界对课程思政的认识、观点不尽一致。多数学者认为课程思政本质属于教学理念，是对课程观的深度解析。例如，学者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等人提出的：从根本来看，课程思政是一种教学理念，并非单独创设的课程。学者</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认为“课程思政是一种全面整体的课程观”。</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认为“教学育人是其核心，并非是课程+思政的单独解读，重点在于思政因子与所有课程的融合，旨在促使所有课程都均有思政教育的作用”。</w:t>
            </w:r>
          </w:p>
          <w:p w14:paraId="140661C0">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部分学者站在课程特征、价值的层面对其内涵进行分析。学者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指出“课程思政以大思政教育格局为重点，具备凸显显性思政、细化隐形思政特性，可以有效解决思政教育知识过于集中、无法与其他课程联动的问题”。</w:t>
            </w:r>
          </w:p>
          <w:p w14:paraId="1455C832">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还有学者更深入的对其内涵进行了阐述。</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指出“以全员参与为基础，借助显性与隐形教育的融合，对学生予以全方位、全过程的育人活动”。</w:t>
            </w:r>
          </w:p>
          <w:p w14:paraId="03CF9360">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②课程思政与思政课程关系的研究</w:t>
            </w:r>
          </w:p>
          <w:p w14:paraId="25BF0DC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多数学者认为二者具有极为强烈的关联性，研究视角多从纵横向切入，探寻“同向同行的育人价值”与“思政课程转变课程思政的必然性”。</w:t>
            </w:r>
          </w:p>
          <w:p w14:paraId="7BCF737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xxxx</w:t>
            </w:r>
            <w:r>
              <w:rPr>
                <w:rFonts w:hint="eastAsia" w:ascii="宋体" w:hAnsi="宋体" w:cs="宋体"/>
                <w:color w:val="000000" w:themeColor="text1"/>
                <w:sz w:val="28"/>
                <w:szCs w:val="28"/>
                <w14:textFill>
                  <w14:solidFill>
                    <w14:schemeClr w14:val="tx1"/>
                  </w14:solidFill>
                </w14:textFill>
              </w:rPr>
              <w:t>等人指出“二者无论是在任务、目标、方向、功能、内容还是要求上都具备一致性，但在地位、特征、优势等方面存在差异性，缘此，应整合二者力量，强化育人功能与优势，凸显育人价值”。学者万</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等人指出“二者交相呼应，内容上二者应互相学习，促使其他课程与思政课程形成协同效应”。</w:t>
            </w:r>
          </w:p>
          <w:p w14:paraId="73E55C7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认为“课程思政是新时代下传统思政教育理念转变的必然结果，应积极优化思路，深挖各学科思政元素，达成三全育人的大思政格局”。</w:t>
            </w:r>
          </w:p>
          <w:p w14:paraId="76B47141">
            <w:pPr>
              <w:numPr>
                <w:ilvl w:val="0"/>
                <w:numId w:val="3"/>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光电专业落实课程思政的研究</w:t>
            </w:r>
          </w:p>
          <w:p w14:paraId="0CAE443E">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在《思政教育在光电专业实验课程教学过程中的融入探索》中指出：应通过强化教师专业能力，注重学生素养培育；深挖教学内容，调动学生创新思维；结合中国元素，讲好中国故事；运用问题驱动，开展自主合作探究学习；紧跟时事，聚焦前沿等策略，深化课程思政的实际成效，助力学生全面发展。</w:t>
            </w:r>
          </w:p>
          <w:p w14:paraId="519D0734">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等人在《新工科背景下多元协同育人模式改革与实践》中指出：课程思政认识不深是阻碍光电信息科学与工程专业育人高效性的因素之一。缘此，就应在各课程中融合思政教育元素，强化提升学生综合素养。</w:t>
            </w:r>
          </w:p>
          <w:p w14:paraId="5561C000">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在《物理光学课程思政教学研究与实践》中提到，课程思政与专业课程的结合，主要凸显其隐形教育的特性，将教师的政治态度、政治认同与课程深入融合，将价值观引导与知识传授相结合，借助知识与技能的传播，促使学生自觉认同，产生共鸣与生化，达成潜移默化育人的目的。</w:t>
            </w:r>
          </w:p>
          <w:p w14:paraId="34BE3AD4">
            <w:pPr>
              <w:numPr>
                <w:ilvl w:val="0"/>
                <w:numId w:val="2"/>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国外研究</w:t>
            </w:r>
          </w:p>
          <w:p w14:paraId="7FA2311D">
            <w:pPr>
              <w:numPr>
                <w:ilvl w:val="0"/>
                <w:numId w:val="4"/>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关于隐形思政教育的研究</w:t>
            </w:r>
          </w:p>
          <w:p w14:paraId="62CD836D">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美国的公民教育承担着培养学生道德思想、塑造正确人生观、价值观的职责。美国的公民教育广泛采取了非直接、潜移默化的隐形教育形式。其主张在学生学习、工作、日常生活中进行潜移默化的思想教育。</w:t>
            </w:r>
          </w:p>
          <w:p w14:paraId="107A41BA">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英国隐形教育主要借助学科渗透的方式开展道德培育，注重环境的搭设以及实践育人作用价值的发挥。</w:t>
            </w:r>
          </w:p>
          <w:p w14:paraId="1F05826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新加坡将思政教育人融合在了专业课程以及选修课程之中，旨在促使学生在学习过程中强化对价值观的认同感，达成润物无声的目的。</w:t>
            </w:r>
          </w:p>
          <w:p w14:paraId="7A03BA1B">
            <w:pPr>
              <w:numPr>
                <w:ilvl w:val="0"/>
                <w:numId w:val="4"/>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关于思政教育工作开展的研究</w:t>
            </w:r>
          </w:p>
          <w:p w14:paraId="04208115">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多数西方学者认为，教师在开展思政教学时，应充分发挥主导作用，积极扮演价值引领的角色。英国杜伦大学教育学院的</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提出了“批判性肯定”的教师角色。批判性肯定角色的主要目的在于应及时肯定学生以及其观点，同时应细致分析各项观点，以主流价值观为基准进行引领。学者</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对瑞典、土耳其52名教师进行了价值观教育看法的访谈工作，后指出，教师应熟悉传统、渐进、批判性的价值观教育手段，同时应提高对道德教育知识的重视。</w:t>
            </w:r>
          </w:p>
          <w:p w14:paraId="3E51926B">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研究意义</w:t>
            </w:r>
          </w:p>
          <w:p w14:paraId="0FF0E19A">
            <w:pPr>
              <w:numPr>
                <w:ilvl w:val="0"/>
                <w:numId w:val="5"/>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理论层面</w:t>
            </w:r>
          </w:p>
          <w:p w14:paraId="58FC4BDA">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课题以教育改革为切入点，围绕光电专业落实课程思政的重点以及途径进行分析，有效拓展了课程思政研究的范围。研究对于马克思主义理论指导地位的巩固、课程思政工作的科学性以及持续性具有促进、保障作用。本研究中从光电专业落实课程思政的必要性进行探索，通过思路整合提出了实施举措，这在一定程度上可以丰富高校思政教育改革的相关理论，为解决高校落实课程思政实践工作中的阻碍提供一定程度的理论借鉴。</w:t>
            </w:r>
          </w:p>
          <w:p w14:paraId="3A97B47D">
            <w:pPr>
              <w:numPr>
                <w:ilvl w:val="0"/>
                <w:numId w:val="5"/>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实践层面</w:t>
            </w:r>
          </w:p>
          <w:p w14:paraId="4A0C960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研究重点论述课程思政融合光电专业课程的方式。课程思政与光电专业课程的融合，可以进一步引导专业学生正确人生观、价值观、科学观的建立，这对于学生今后事业发展、职业道德的形成、社会责任感的提升、岗位适应能力的强化均有促进增强的作用。由此可知，光电专业落实课程思政，主要是将专业知识与技能培训和价值观引领相结合，这对高素质应用型人才的培养具有显著的意义价值。</w:t>
            </w:r>
          </w:p>
          <w:p w14:paraId="39E476C3">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研究设计</w:t>
            </w:r>
          </w:p>
          <w:p w14:paraId="4AC78CA9">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主要目标</w:t>
            </w:r>
          </w:p>
          <w:p w14:paraId="46BB423D">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程思政是达成“三全育人”目标的关键，特别是在专业教育教学开展中，结合专业认证指标点要点，有效融合思政元素，可以达成育人、育才充分融合的教育效果。本研究重点旨在思政元素的挖掘、课程思政体系的建设、师资队伍的强化等层面入手进行逐步探析，以此实现引导学生梳理正确人生观、价值观、世界观，促进学生全面发展的目标。</w:t>
            </w:r>
          </w:p>
          <w:p w14:paraId="2786932D">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研究内容</w:t>
            </w:r>
          </w:p>
          <w:p w14:paraId="5BE9B162">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思政元素的挖掘</w:t>
            </w:r>
          </w:p>
          <w:p w14:paraId="33C62FF0">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思政元素的挖掘是课程思政开展的重要前提。新工科背景下，高校应积极结合工程教育专业认证，挖掘、分类、整合思政元素。结合原理，可将其中思政元素划分为马克思主义基本原理、毛泽东思想、中国特色社会主义理论、思想道德修养、法律基础、中国近代史、形式与政策以及周恩来精神。这八大元素中涵盖A1-F6等诸多思政元素，光电专业课程与这些元素的融合可以有效完善健全课程思政体系，达成深度融合、育人育才的目的。</w:t>
            </w:r>
          </w:p>
          <w:p w14:paraId="7B56EBB7">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课程思政体系的建设</w:t>
            </w:r>
          </w:p>
          <w:p w14:paraId="3799C0F8">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年的全国高效思政工作会议上，</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着重强调，应开展全学科、多课程思政教育，与思政理论课同行，形成协同弄效应，以课程思政体系的建设为途径，帮助学生形成正确的思想道德、价值观念。</w:t>
            </w:r>
          </w:p>
          <w:p w14:paraId="76C5F867">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结合这一要求，高校就应主动将思政课程与课程思政充分融合，将其与素质教育全过程相关联，积极建立“马克思主义基本原理概论”“中国近代史纲要”“思想道德修养与法律基础”“</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精神八观八讲”“中国传统文化”等课程。此外，还可以将专业拓展与专业对应企业相结合。通过理论课外教学学分划分的方式，开展教学内容转移工作，以此强化实践教学的有效性。这不仅利于学生理论知识的吸收，也可以拓展其视野，达成理论融合实践的目的。还可以通过江赛、大创、实践实习一体化的方式深化课程思政教育。通过各类与光电专业相关竞赛活动的举办、创新创业训练计划项目的开展，强化学生技能熟练度，达成学以致用的目的。</w:t>
            </w:r>
          </w:p>
          <w:p w14:paraId="73B7EE0C">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师资队伍的强化</w:t>
            </w:r>
          </w:p>
          <w:p w14:paraId="0A360F18">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专业的师资队伍可以强化课程思政育人的有效性。针对光电信息科学与工程专业师资队伍建设，应从内外两个层面开展建设，强化工程创新能力。</w:t>
            </w:r>
          </w:p>
          <w:p w14:paraId="0DDDC0AC">
            <w:pPr>
              <w:numPr>
                <w:ilvl w:val="0"/>
                <w:numId w:val="7"/>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加强内培</w:t>
            </w:r>
          </w:p>
          <w:p w14:paraId="25E85D91">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校可以借助以老带新的举措强化年轻教师的综合能力。通过经验丰富老教师与年轻教师的结对，助力年轻教师的成长发展；其次，可以定期开展青年教师培训工作，通过校企联合的方式，强化教师的实践能力。此外，还应面向全校教师，从学科竞赛、专利申报、产学研合作等层面开展双师型教师培训工作，以此强化提升教师的创新能力。</w:t>
            </w:r>
          </w:p>
          <w:p w14:paraId="278EC5FA">
            <w:pPr>
              <w:numPr>
                <w:ilvl w:val="0"/>
                <w:numId w:val="7"/>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拓宽外引</w:t>
            </w:r>
          </w:p>
          <w:p w14:paraId="0E3E927D">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高校可以聘请光电专业对应企业中的技术人员担任导师，并与企业管理人共同拟定导师评聘管理制度。通过企业聘请导师与校内教师的沟通交流、合作创新强化教学的有效性。</w:t>
            </w:r>
          </w:p>
          <w:p w14:paraId="231D491B">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cs="宋体"/>
                <w:b/>
                <w:bCs/>
                <w:color w:val="000000" w:themeColor="text1"/>
                <w:sz w:val="28"/>
                <w:szCs w:val="28"/>
                <w14:textFill>
                  <w14:solidFill>
                    <w14:schemeClr w14:val="tx1"/>
                  </w14:solidFill>
                </w14:textFill>
              </w:rPr>
              <w:t>拟解决的关键问题（最好1、2、3逐条阐述）</w:t>
            </w:r>
          </w:p>
          <w:p w14:paraId="764486A1">
            <w:pPr>
              <w:pStyle w:val="11"/>
              <w:numPr>
                <w:ilvl w:val="0"/>
                <w:numId w:val="8"/>
              </w:numPr>
              <w:spacing w:line="360" w:lineRule="auto"/>
              <w:ind w:left="0" w:leftChars="0" w:firstLine="0" w:firstLineChars="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寻找光电专业落实课程思政的关键落脚点；</w:t>
            </w:r>
          </w:p>
          <w:p w14:paraId="2E422522">
            <w:pPr>
              <w:pStyle w:val="11"/>
              <w:numPr>
                <w:ilvl w:val="0"/>
                <w:numId w:val="8"/>
              </w:numPr>
              <w:spacing w:line="360" w:lineRule="auto"/>
              <w:ind w:left="0" w:leftChars="0" w:firstLine="0" w:firstLineChars="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以落脚点为依托，拟定合理可行的光电专业课程思政实践策略；</w:t>
            </w:r>
          </w:p>
          <w:p w14:paraId="44C9D601">
            <w:pPr>
              <w:pStyle w:val="11"/>
              <w:numPr>
                <w:ilvl w:val="0"/>
                <w:numId w:val="8"/>
              </w:numPr>
              <w:spacing w:line="360" w:lineRule="auto"/>
              <w:ind w:left="0" w:leftChars="0" w:firstLine="0" w:firstLineChars="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通过观察记录，了解策略的可行性，分析其在培育优秀人才、促进课程思政落实方面的意义价值。</w:t>
            </w:r>
          </w:p>
          <w:p w14:paraId="4CDA547C">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cs="宋体"/>
                <w:b/>
                <w:bCs/>
                <w:color w:val="000000" w:themeColor="text1"/>
                <w:sz w:val="28"/>
                <w:szCs w:val="28"/>
                <w14:textFill>
                  <w14:solidFill>
                    <w14:schemeClr w14:val="tx1"/>
                  </w14:solidFill>
                </w14:textFill>
              </w:rPr>
              <w:t>研究方案添加研究进度（</w:t>
            </w:r>
            <w:r>
              <w:rPr>
                <w:rFonts w:hint="eastAsia" w:ascii="宋体" w:hAnsi="宋体" w:cs="宋体"/>
                <w:b/>
                <w:bCs/>
                <w:color w:val="000000" w:themeColor="text1"/>
                <w:sz w:val="28"/>
                <w:szCs w:val="28"/>
                <w:lang w:val="en-US" w:eastAsia="zh-CN"/>
                <w14:textFill>
                  <w14:solidFill>
                    <w14:schemeClr w14:val="tx1"/>
                  </w14:solidFill>
                </w14:textFill>
              </w:rPr>
              <w:t>xx</w:t>
            </w:r>
            <w:r>
              <w:rPr>
                <w:rFonts w:hint="eastAsia" w:ascii="宋体" w:hAnsi="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x</w:t>
            </w:r>
            <w:r>
              <w:rPr>
                <w:rFonts w:hint="eastAsia" w:ascii="宋体" w:hAnsi="宋体" w:cs="宋体"/>
                <w:b/>
                <w:bCs/>
                <w:color w:val="000000" w:themeColor="text1"/>
                <w:sz w:val="28"/>
                <w:szCs w:val="28"/>
                <w14:textFill>
                  <w14:solidFill>
                    <w14:schemeClr w14:val="tx1"/>
                  </w14:solidFill>
                </w14:textFill>
              </w:rPr>
              <w:t>月-</w:t>
            </w:r>
            <w:r>
              <w:rPr>
                <w:rFonts w:hint="eastAsia" w:ascii="宋体" w:hAnsi="宋体" w:cs="宋体"/>
                <w:b/>
                <w:bCs/>
                <w:color w:val="000000" w:themeColor="text1"/>
                <w:sz w:val="28"/>
                <w:szCs w:val="28"/>
                <w:lang w:val="en-US" w:eastAsia="zh-CN"/>
                <w14:textFill>
                  <w14:solidFill>
                    <w14:schemeClr w14:val="tx1"/>
                  </w14:solidFill>
                </w14:textFill>
              </w:rPr>
              <w:t>xx</w:t>
            </w:r>
            <w:r>
              <w:rPr>
                <w:rFonts w:hint="eastAsia" w:ascii="宋体" w:hAnsi="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x</w:t>
            </w:r>
            <w:r>
              <w:rPr>
                <w:rFonts w:hint="eastAsia" w:ascii="宋体" w:hAnsi="宋体" w:cs="宋体"/>
                <w:b/>
                <w:bCs/>
                <w:color w:val="000000" w:themeColor="text1"/>
                <w:sz w:val="28"/>
                <w:szCs w:val="28"/>
                <w14:textFill>
                  <w14:solidFill>
                    <w14:schemeClr w14:val="tx1"/>
                  </w14:solidFill>
                </w14:textFill>
              </w:rPr>
              <w:t>月）</w:t>
            </w:r>
          </w:p>
          <w:p w14:paraId="6C8289AA">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课题研究方法</w:t>
            </w:r>
          </w:p>
          <w:p w14:paraId="4DF1A87D">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文献研究法</w:t>
            </w:r>
          </w:p>
          <w:p w14:paraId="0266B0DF">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结合课题核心，搜集整理与光电专业、课程思政相关资料信息，通过分析整理，总结光电专业落实课程思政的主要思路。</w:t>
            </w:r>
          </w:p>
          <w:p w14:paraId="6B12899B">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理论联系实际法</w:t>
            </w:r>
          </w:p>
          <w:p w14:paraId="4990DE1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在文献梳理的基础上，通过课程思政内涵的分析、光电专业思政教育重要性的探寻，为后续策略拟定夯实理论基础。</w:t>
            </w:r>
          </w:p>
          <w:p w14:paraId="3A4EBFBA">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调查问卷法</w:t>
            </w:r>
          </w:p>
          <w:p w14:paraId="02060782">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遴选A校光电专业学生为对象，发放自拟问卷，进行光电专业课程思政育人体系建构、落实的问卷调查，之后对回收问卷进行统计整理，分析数据，得出结论，为后续策略拟定提供数据支撑。</w:t>
            </w:r>
          </w:p>
          <w:p w14:paraId="4092D0B2">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研究思路</w:t>
            </w:r>
          </w:p>
          <w:p w14:paraId="527DDCE8">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drawing>
                <wp:inline distT="0" distB="0" distL="114300" distR="114300">
                  <wp:extent cx="6572885" cy="4121150"/>
                  <wp:effectExtent l="0" t="0" r="0" b="0"/>
                  <wp:docPr id="2" name="图片 2"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1)"/>
                          <pic:cNvPicPr>
                            <a:picLocks noChangeAspect="1"/>
                          </pic:cNvPicPr>
                        </pic:nvPicPr>
                        <pic:blipFill>
                          <a:blip r:embed="rId6"/>
                          <a:stretch>
                            <a:fillRect/>
                          </a:stretch>
                        </pic:blipFill>
                        <pic:spPr>
                          <a:xfrm>
                            <a:off x="0" y="0"/>
                            <a:ext cx="6572885" cy="4121150"/>
                          </a:xfrm>
                          <a:prstGeom prst="rect">
                            <a:avLst/>
                          </a:prstGeom>
                        </pic:spPr>
                      </pic:pic>
                    </a:graphicData>
                  </a:graphic>
                </wp:inline>
              </w:drawing>
            </w:r>
          </w:p>
          <w:p w14:paraId="7A9F6AA6">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（三）研究计划及其</w:t>
            </w:r>
            <w:r>
              <w:rPr>
                <w:rFonts w:hint="eastAsia" w:ascii="宋体" w:hAnsi="宋体" w:cs="宋体"/>
                <w:b/>
                <w:bCs/>
                <w:color w:val="000000" w:themeColor="text1"/>
                <w:sz w:val="28"/>
                <w:szCs w:val="28"/>
                <w14:textFill>
                  <w14:solidFill>
                    <w14:schemeClr w14:val="tx1"/>
                  </w14:solidFill>
                </w14:textFill>
              </w:rPr>
              <w:t>可行性分析</w:t>
            </w:r>
          </w:p>
          <w:p w14:paraId="04BAC108">
            <w:pPr>
              <w:pStyle w:val="11"/>
              <w:numPr>
                <w:ilvl w:val="0"/>
                <w:numId w:val="10"/>
              </w:numPr>
              <w:spacing w:line="360" w:lineRule="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研究计划</w:t>
            </w:r>
          </w:p>
          <w:p w14:paraId="2B1665DA">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（1）课题准备阶段（20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63B437B3">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在此阶段中，主要进行课题相关的理论文献研究：对国内外学者相关的文献进行搜集整理，对文献进行研读，研读中对学者观点进行梳理，为课题研究提供理论依据。</w:t>
            </w:r>
          </w:p>
          <w:p w14:paraId="1D8EC198">
            <w:pPr>
              <w:keepNext w:val="0"/>
              <w:keepLines w:val="0"/>
              <w:numPr>
                <w:ilvl w:val="0"/>
                <w:numId w:val="11"/>
              </w:numPr>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课题全面实施阶段（20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75FE78B2">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在此阶段中的主要研究任务为：①对课题组成员任务进行划分，将具体任务分配到个人。②</w:t>
            </w:r>
            <w:r>
              <w:rPr>
                <w:rFonts w:hint="eastAsia" w:ascii="宋体" w:hAnsi="宋体" w:eastAsia="宋体" w:cs="宋体"/>
                <w:color w:val="000000" w:themeColor="text1"/>
                <w:sz w:val="28"/>
                <w:szCs w:val="28"/>
                <w:lang w:val="en-US" w:eastAsia="zh-CN"/>
                <w14:textFill>
                  <w14:solidFill>
                    <w14:schemeClr w14:val="tx1"/>
                  </w14:solidFill>
                </w14:textFill>
              </w:rPr>
              <w:t>了解光电专业中课程思政开展</w:t>
            </w:r>
            <w:r>
              <w:rPr>
                <w:rFonts w:hint="eastAsia" w:ascii="宋体" w:hAnsi="宋体" w:eastAsia="宋体" w:cs="宋体"/>
                <w:color w:val="000000" w:themeColor="text1"/>
                <w:sz w:val="28"/>
                <w:szCs w:val="28"/>
                <w14:textFill>
                  <w14:solidFill>
                    <w14:schemeClr w14:val="tx1"/>
                  </w14:solidFill>
                </w14:textFill>
              </w:rPr>
              <w:t>现状，分析</w:t>
            </w:r>
            <w:r>
              <w:rPr>
                <w:rFonts w:hint="eastAsia" w:ascii="宋体" w:hAnsi="宋体" w:eastAsia="宋体" w:cs="宋体"/>
                <w:color w:val="000000" w:themeColor="text1"/>
                <w:sz w:val="28"/>
                <w:szCs w:val="28"/>
                <w:lang w:val="en-US" w:eastAsia="zh-CN"/>
                <w14:textFill>
                  <w14:solidFill>
                    <w14:schemeClr w14:val="tx1"/>
                  </w14:solidFill>
                </w14:textFill>
              </w:rPr>
              <w:t>其中不足，探寻</w:t>
            </w:r>
            <w:r>
              <w:rPr>
                <w:rFonts w:hint="eastAsia" w:ascii="宋体" w:hAnsi="宋体" w:eastAsia="宋体" w:cs="宋体"/>
                <w:color w:val="000000" w:themeColor="text1"/>
                <w:sz w:val="28"/>
                <w:szCs w:val="28"/>
                <w14:textFill>
                  <w14:solidFill>
                    <w14:schemeClr w14:val="tx1"/>
                  </w14:solidFill>
                </w14:textFill>
              </w:rPr>
              <w:t>问题成因。③基于</w:t>
            </w:r>
            <w:r>
              <w:rPr>
                <w:rFonts w:hint="eastAsia" w:ascii="宋体" w:hAnsi="宋体" w:eastAsia="宋体" w:cs="宋体"/>
                <w:color w:val="000000" w:themeColor="text1"/>
                <w:sz w:val="28"/>
                <w:szCs w:val="28"/>
                <w:lang w:val="en-US" w:eastAsia="zh-CN"/>
                <w14:textFill>
                  <w14:solidFill>
                    <w14:schemeClr w14:val="tx1"/>
                  </w14:solidFill>
                </w14:textFill>
              </w:rPr>
              <w:t>协同育人机制，寻找光电特色课程思政建设的关键点以及创新实践</w:t>
            </w:r>
            <w:r>
              <w:rPr>
                <w:rFonts w:hint="eastAsia" w:ascii="宋体" w:hAnsi="宋体" w:eastAsia="宋体" w:cs="宋体"/>
                <w:color w:val="000000" w:themeColor="text1"/>
                <w:sz w:val="28"/>
                <w:szCs w:val="28"/>
                <w14:textFill>
                  <w14:solidFill>
                    <w14:schemeClr w14:val="tx1"/>
                  </w14:solidFill>
                </w14:textFill>
              </w:rPr>
              <w:t>策略。④将</w:t>
            </w:r>
            <w:r>
              <w:rPr>
                <w:rFonts w:hint="eastAsia" w:ascii="宋体" w:hAnsi="宋体" w:eastAsia="宋体" w:cs="宋体"/>
                <w:color w:val="000000" w:themeColor="text1"/>
                <w:sz w:val="28"/>
                <w:szCs w:val="28"/>
                <w:lang w:eastAsia="zh-CN"/>
                <w14:textFill>
                  <w14:solidFill>
                    <w14:schemeClr w14:val="tx1"/>
                  </w14:solidFill>
                </w14:textFill>
              </w:rPr>
              <w:t>策略</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eastAsia="宋体" w:cs="宋体"/>
                <w:color w:val="000000" w:themeColor="text1"/>
                <w:sz w:val="28"/>
                <w:szCs w:val="28"/>
                <w:lang w:eastAsia="zh-CN"/>
                <w14:textFill>
                  <w14:solidFill>
                    <w14:schemeClr w14:val="tx1"/>
                  </w14:solidFill>
                </w14:textFill>
              </w:rPr>
              <w:t>专业教学</w:t>
            </w:r>
            <w:r>
              <w:rPr>
                <w:rFonts w:hint="eastAsia" w:ascii="宋体" w:hAnsi="宋体" w:eastAsia="宋体" w:cs="宋体"/>
                <w:color w:val="000000" w:themeColor="text1"/>
                <w:sz w:val="28"/>
                <w:szCs w:val="28"/>
                <w14:textFill>
                  <w14:solidFill>
                    <w14:schemeClr w14:val="tx1"/>
                  </w14:solidFill>
                </w14:textFill>
              </w:rPr>
              <w:t>中进行具体实施，并对</w:t>
            </w:r>
            <w:r>
              <w:rPr>
                <w:rFonts w:hint="eastAsia" w:ascii="宋体" w:hAnsi="宋体" w:eastAsia="宋体" w:cs="宋体"/>
                <w:color w:val="000000" w:themeColor="text1"/>
                <w:sz w:val="28"/>
                <w:szCs w:val="28"/>
                <w:lang w:eastAsia="zh-CN"/>
                <w14:textFill>
                  <w14:solidFill>
                    <w14:schemeClr w14:val="tx1"/>
                  </w14:solidFill>
                </w14:textFill>
              </w:rPr>
              <w:t>实施</w:t>
            </w:r>
            <w:r>
              <w:rPr>
                <w:rFonts w:hint="eastAsia" w:ascii="宋体" w:hAnsi="宋体" w:eastAsia="宋体" w:cs="宋体"/>
                <w:color w:val="000000" w:themeColor="text1"/>
                <w:sz w:val="28"/>
                <w:szCs w:val="28"/>
                <w14:textFill>
                  <w14:solidFill>
                    <w14:schemeClr w14:val="tx1"/>
                  </w14:solidFill>
                </w14:textFill>
              </w:rPr>
              <w:t>的效果进行统计分析。⑤撰写中期报告及制定往后学习计划。</w:t>
            </w:r>
          </w:p>
          <w:p w14:paraId="59B7C16A">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（3）课题总结鉴定阶段（20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4DEF795A">
            <w:pPr>
              <w:pStyle w:val="11"/>
              <w:widowControl w:val="0"/>
              <w:numPr>
                <w:ilvl w:val="0"/>
                <w:numId w:val="0"/>
              </w:numPr>
              <w:adjustRightInd w:val="0"/>
              <w:spacing w:line="360" w:lineRule="auto"/>
              <w:jc w:val="left"/>
              <w:textAlignment w:val="baseline"/>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对课题研究进行归纳性总结，并撰写结题报告。</w:t>
            </w:r>
          </w:p>
          <w:p w14:paraId="3461F32D">
            <w:pPr>
              <w:pStyle w:val="11"/>
              <w:widowControl w:val="0"/>
              <w:numPr>
                <w:ilvl w:val="0"/>
                <w:numId w:val="0"/>
              </w:numPr>
              <w:adjustRightInd w:val="0"/>
              <w:spacing w:line="360" w:lineRule="auto"/>
              <w:jc w:val="left"/>
              <w:textAlignment w:val="baseline"/>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2.研究可行性分析</w:t>
            </w:r>
          </w:p>
          <w:p w14:paraId="5CDC25FB">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课题研究的清晰度分析</w:t>
            </w:r>
          </w:p>
          <w:p w14:paraId="00D1E11A">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课题在目标、内容上都非常明确，思路清晰。由于课题是一个从理念转变为实践的过程，其中需要通过多种形式的观察与研讨来进行探究和验证。</w:t>
            </w:r>
          </w:p>
          <w:p w14:paraId="548EF3AE">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本课题操作性强，有科学规范的教科研管理制度，有稳定的经费保证。课题主研人员传承我校多年来务真求实、勇于创新、敢于质疑的科研精神，积累了丰富的课题研究经验。</w:t>
            </w:r>
          </w:p>
          <w:p w14:paraId="0A4E0E60">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课题研究制度</w:t>
            </w:r>
          </w:p>
          <w:p w14:paraId="0F16F74F">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（1）课题组成员必须按各自的分工，认真履行自己的职责。</w:t>
            </w:r>
          </w:p>
          <w:p w14:paraId="7D28A965">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（2）每月定期召开两次研究人员会议，讨论分析本月课题推进情况及研究过程中存在的问题，不断分析调整研究措施。</w:t>
            </w:r>
          </w:p>
          <w:p w14:paraId="02E13668">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（3）认真做好研究记录，收集研究资料，及时总结阶段成效和成果。</w:t>
            </w:r>
          </w:p>
          <w:p w14:paraId="6F556C72">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（4）定期向教研室汇报研究进展情况，以得到支持和帮助。</w:t>
            </w:r>
          </w:p>
          <w:p w14:paraId="63740A9F">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2.3</w:t>
            </w:r>
            <w:r>
              <w:rPr>
                <w:rFonts w:hint="eastAsia" w:ascii="宋体" w:hAnsi="宋体" w:cs="宋体"/>
                <w:color w:val="000000" w:themeColor="text1"/>
                <w:sz w:val="28"/>
                <w:szCs w:val="28"/>
                <w14:textFill>
                  <w14:solidFill>
                    <w14:schemeClr w14:val="tx1"/>
                  </w14:solidFill>
                </w14:textFill>
              </w:rPr>
              <w:t>学习制度</w:t>
            </w:r>
          </w:p>
          <w:p w14:paraId="7918187B">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（1）课题组负责人要根据进展情况，查找课题相关资料，给课题组人员提供信息。</w:t>
            </w:r>
          </w:p>
          <w:p w14:paraId="58D826E7">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（2）每月两次课题组研讨，一次全体学习，加强研究人员之间的交流。</w:t>
            </w:r>
          </w:p>
          <w:p w14:paraId="6EF5C6EE">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（3）课题组成员不断加强学习，积极参加各类培训，以提高自己的理论水平和研究能力。</w:t>
            </w:r>
          </w:p>
          <w:p w14:paraId="52B00D61">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（4）请有关专家来校对课题组成员进行理论培训、研究指导。</w:t>
            </w:r>
          </w:p>
          <w:p w14:paraId="5D80AE84">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（5）学习作好研究笔记，及时将研究中的体会、思考记录下来，形成文字资料。</w:t>
            </w:r>
          </w:p>
          <w:p w14:paraId="10CC2E2C">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四、</w:t>
            </w:r>
            <w:r>
              <w:rPr>
                <w:rFonts w:hint="eastAsia" w:ascii="宋体" w:hAnsi="宋体" w:cs="宋体"/>
                <w:b/>
                <w:bCs/>
                <w:color w:val="000000" w:themeColor="text1"/>
                <w:sz w:val="28"/>
                <w:szCs w:val="28"/>
                <w14:textFill>
                  <w14:solidFill>
                    <w14:schemeClr w14:val="tx1"/>
                  </w14:solidFill>
                </w14:textFill>
              </w:rPr>
              <w:t>创新之处</w:t>
            </w:r>
          </w:p>
          <w:p w14:paraId="53D56E23">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研究视角的创新：本次研究以光电专业为主体，对其课程思政的落实策略进行了重点探究，这为进一步拓展课程思政的研究提供了全新视角，同时也为课程思政的全面建设、实现统筹推进、分类施策的有机统一奠定了基础。</w:t>
            </w:r>
          </w:p>
          <w:p w14:paraId="6F3741F6">
            <w:pPr>
              <w:pStyle w:val="11"/>
              <w:spacing w:line="360" w:lineRule="auto"/>
              <w:ind w:firstLine="240"/>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研究内容的创新：全文重点探析光电专业落实课程思政的关键点以及创新举措，从课程思政的内涵到光电专业课程思政落实的策略构思，再到对师资力量提升、思政元素挖掘、课程思政育人体系建构进行了探寻，整体来看，本次研究是从实践理论层面创新了光电专业课程思政的教学路径。</w:t>
            </w:r>
          </w:p>
          <w:p w14:paraId="7C7B72A3">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五、</w:t>
            </w:r>
            <w:r>
              <w:rPr>
                <w:rFonts w:hint="eastAsia" w:ascii="宋体" w:hAnsi="宋体" w:cs="宋体"/>
                <w:b/>
                <w:bCs/>
                <w:color w:val="000000" w:themeColor="text1"/>
                <w:sz w:val="28"/>
                <w:szCs w:val="28"/>
                <w14:textFill>
                  <w14:solidFill>
                    <w14:schemeClr w14:val="tx1"/>
                  </w14:solidFill>
                </w14:textFill>
              </w:rPr>
              <w:t>预期成果</w:t>
            </w:r>
          </w:p>
          <w:p w14:paraId="5F7D4D82">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本次研究将形成：</w:t>
            </w:r>
          </w:p>
          <w:p w14:paraId="6032592D">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《协同育人背景下，光电专业课程思政落实现状》——调查报告；</w:t>
            </w:r>
          </w:p>
          <w:p w14:paraId="4384CB1D">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《课程思政与光电专业教学融合策略探究》——论文；</w:t>
            </w:r>
          </w:p>
          <w:p w14:paraId="18203BE7">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《协同育人机制下光电特色“课程思政”建设关键点与创新实践研究》——研究报告。</w:t>
            </w:r>
          </w:p>
          <w:p w14:paraId="5E7785AC">
            <w:pPr>
              <w:numPr>
                <w:ilvl w:val="0"/>
                <w:numId w:val="0"/>
              </w:numPr>
              <w:spacing w:line="360" w:lineRule="auto"/>
              <w:ind w:leftChars="0" w:firstLine="560" w:firstLineChars="200"/>
              <w:jc w:val="left"/>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形成的成果将在本区域其他高校推广使用，这对于光电专业课程的改革、课程思政工作的落实、学生综合能力与素养的提升、教师专业能力与教学理念的转变、学校的可持续发展均具有促进作用。</w:t>
            </w:r>
          </w:p>
          <w:p w14:paraId="48ED9C66">
            <w:pPr>
              <w:numPr>
                <w:ilvl w:val="0"/>
                <w:numId w:val="12"/>
              </w:numPr>
              <w:spacing w:line="360" w:lineRule="auto"/>
              <w:ind w:left="0" w:leftChars="0" w:firstLine="0" w:firstLineChars="0"/>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参考文献</w:t>
            </w:r>
          </w:p>
          <w:p w14:paraId="3519156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高德毅, 宗爱东. 课程思政:有效发挥课堂育人主渠道作用的必然选择[J]. 思想理论教育导刊, 2017(1):4.</w:t>
            </w:r>
          </w:p>
          <w:p w14:paraId="5EE16EAD">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闵辉. 课程思政与高校哲学社会科学育人功能[J]. 中国高等教育, 2017(15):4.</w:t>
            </w:r>
          </w:p>
          <w:p w14:paraId="5B4917CF">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陆道坤. 课程思政推行中若干核心问题及解决思路——基于专业课程思政的探讨[J]. 思想理论教育, 2018(3):6.</w:t>
            </w:r>
          </w:p>
          <w:p w14:paraId="2CA72739">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何玉海, 于志新. 新时代推进高校"课程思政"建设的四个维度[J]. 思想理论教育导刊, 2021(2):5.</w:t>
            </w:r>
          </w:p>
          <w:p w14:paraId="21F754FC">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石书臣. 正确把握"课程思政"与思政课程的关系[J]. 思想理论教育, 2018(11):5.</w:t>
            </w:r>
          </w:p>
          <w:p w14:paraId="411CC31A">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邱仁富. "课程思政"与"思政课程"同向同行的理论阐释[J]. 思想教育研究, 2018(4):5.</w:t>
            </w:r>
          </w:p>
          <w:p w14:paraId="4313DCCA">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 王丽华. 高职院校"思政课程"与"课程思政"协同育人模式构建的逻辑理路探究[J]. 中国职业技术教育, 2019(18):5.</w:t>
            </w:r>
          </w:p>
          <w:p w14:paraId="0048B5A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 万林艳, 姚音竹. \"思政课程\"与\"课程思政\"教学内容的同向同行[J]. 中国大学教学, 2018, 000(012):52-55.</w:t>
            </w:r>
          </w:p>
          <w:p w14:paraId="1C72AB4D">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 何红娟. "思政课程"到"课程思政"发展的内在逻辑及建构策略[J]. 思想政治教育研究, 2017(33):60-64.</w:t>
            </w:r>
          </w:p>
          <w:p w14:paraId="1692EB2E">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陈鹏, 朱荣刚, 张玲玲. 思政教育在光电专业实验课程教学过程中的融入探索[J].  2021.</w:t>
            </w:r>
          </w:p>
          <w:p w14:paraId="45E69E8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季仁东, 王晓燕, 蒋青松,等. 新工科背景下多元协同育人模式改革与实践——以淮阴工学院光电信息科学与工程专业为例[J]. 教育教学论坛, 2021(49):4.</w:t>
            </w:r>
          </w:p>
          <w:p w14:paraId="726C3F85">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翟凤潇, 刘楠楠, 李萍萍,等. 物理光学课程思政教学研究与实践[J]. 物理通报, 2022(3):73-76.</w:t>
            </w:r>
          </w:p>
          <w:p w14:paraId="2A836C31">
            <w:pPr>
              <w:spacing w:line="360" w:lineRule="auto"/>
              <w:ind w:firstLine="560" w:firstLineChars="200"/>
              <w:rPr>
                <w:rFonts w:ascii="宋体" w:hAnsi="宋体" w:cs="宋体"/>
                <w:color w:val="000000" w:themeColor="text1"/>
                <w:sz w:val="28"/>
                <w:szCs w:val="28"/>
                <w14:textFill>
                  <w14:solidFill>
                    <w14:schemeClr w14:val="tx1"/>
                  </w14:solidFill>
                </w14:textFill>
              </w:rPr>
            </w:pPr>
          </w:p>
        </w:tc>
      </w:tr>
    </w:tbl>
    <w:p w14:paraId="67A05AC3">
      <w:pPr>
        <w:spacing w:line="480" w:lineRule="auto"/>
        <w:rPr>
          <w:rFonts w:hint="eastAsia" w:ascii="新宋体" w:hAnsi="新宋体" w:eastAsia="新宋体"/>
          <w:b/>
          <w:sz w:val="24"/>
          <w:lang w:eastAsia="zh-CN"/>
        </w:rPr>
      </w:pPr>
      <w:r>
        <w:rPr>
          <w:rFonts w:hint="eastAsia" w:ascii="新宋体" w:hAnsi="新宋体" w:eastAsia="新宋体"/>
          <w:b/>
          <w:sz w:val="24"/>
          <w:lang w:eastAsia="zh-CN"/>
        </w:rPr>
        <w:drawing>
          <wp:inline distT="0" distB="0" distL="114300" distR="114300">
            <wp:extent cx="6472555" cy="3596005"/>
            <wp:effectExtent l="0" t="0" r="4445" b="4445"/>
            <wp:docPr id="3" name="图片 3"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佳丽公众号二维码"/>
                    <pic:cNvPicPr>
                      <a:picLocks noChangeAspect="1"/>
                    </pic:cNvPicPr>
                  </pic:nvPicPr>
                  <pic:blipFill>
                    <a:blip r:embed="rId7"/>
                    <a:stretch>
                      <a:fillRect/>
                    </a:stretch>
                  </pic:blipFill>
                  <pic:spPr>
                    <a:xfrm>
                      <a:off x="0" y="0"/>
                      <a:ext cx="6472555" cy="3596005"/>
                    </a:xfrm>
                    <a:prstGeom prst="rect">
                      <a:avLst/>
                    </a:prstGeom>
                  </pic:spPr>
                </pic:pic>
              </a:graphicData>
            </a:graphic>
          </wp:inline>
        </w:drawing>
      </w:r>
    </w:p>
    <w:sectPr>
      <w:footerReference r:id="rId3" w:type="default"/>
      <w:footerReference r:id="rId4" w:type="even"/>
      <w:pgSz w:w="11907" w:h="16840"/>
      <w:pgMar w:top="851" w:right="851" w:bottom="851" w:left="851"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7E9E">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- 6 -</w:t>
    </w:r>
    <w:r>
      <w:fldChar w:fldCharType="end"/>
    </w:r>
  </w:p>
  <w:p w14:paraId="5DE7070A">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0AA8">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14:paraId="4E376838">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AF477"/>
    <w:multiLevelType w:val="singleLevel"/>
    <w:tmpl w:val="C56AF477"/>
    <w:lvl w:ilvl="0" w:tentative="0">
      <w:start w:val="1"/>
      <w:numFmt w:val="decimal"/>
      <w:lvlText w:val="%1."/>
      <w:lvlJc w:val="left"/>
      <w:pPr>
        <w:tabs>
          <w:tab w:val="left" w:pos="312"/>
        </w:tabs>
      </w:pPr>
    </w:lvl>
  </w:abstractNum>
  <w:abstractNum w:abstractNumId="1">
    <w:nsid w:val="EF95C8F6"/>
    <w:multiLevelType w:val="singleLevel"/>
    <w:tmpl w:val="EF95C8F6"/>
    <w:lvl w:ilvl="0" w:tentative="0">
      <w:start w:val="1"/>
      <w:numFmt w:val="decimal"/>
      <w:suff w:val="nothing"/>
      <w:lvlText w:val="（%1）"/>
      <w:lvlJc w:val="left"/>
    </w:lvl>
  </w:abstractNum>
  <w:abstractNum w:abstractNumId="2">
    <w:nsid w:val="FE1EC1BD"/>
    <w:multiLevelType w:val="singleLevel"/>
    <w:tmpl w:val="FE1EC1BD"/>
    <w:lvl w:ilvl="0" w:tentative="0">
      <w:start w:val="1"/>
      <w:numFmt w:val="decimal"/>
      <w:suff w:val="nothing"/>
      <w:lvlText w:val="（%1）"/>
      <w:lvlJc w:val="left"/>
    </w:lvl>
  </w:abstractNum>
  <w:abstractNum w:abstractNumId="3">
    <w:nsid w:val="0643D1DE"/>
    <w:multiLevelType w:val="singleLevel"/>
    <w:tmpl w:val="0643D1DE"/>
    <w:lvl w:ilvl="0" w:tentative="0">
      <w:start w:val="1"/>
      <w:numFmt w:val="decimal"/>
      <w:suff w:val="nothing"/>
      <w:lvlText w:val="（%1）"/>
      <w:lvlJc w:val="left"/>
    </w:lvl>
  </w:abstractNum>
  <w:abstractNum w:abstractNumId="4">
    <w:nsid w:val="0D9DB403"/>
    <w:multiLevelType w:val="singleLevel"/>
    <w:tmpl w:val="0D9DB403"/>
    <w:lvl w:ilvl="0" w:tentative="0">
      <w:start w:val="1"/>
      <w:numFmt w:val="decimal"/>
      <w:lvlText w:val="%1."/>
      <w:lvlJc w:val="left"/>
      <w:pPr>
        <w:tabs>
          <w:tab w:val="left" w:pos="312"/>
        </w:tabs>
      </w:pPr>
    </w:lvl>
  </w:abstractNum>
  <w:abstractNum w:abstractNumId="5">
    <w:nsid w:val="13E5EB85"/>
    <w:multiLevelType w:val="singleLevel"/>
    <w:tmpl w:val="13E5EB85"/>
    <w:lvl w:ilvl="0" w:tentative="0">
      <w:start w:val="1"/>
      <w:numFmt w:val="decimal"/>
      <w:lvlText w:val="%1."/>
      <w:lvlJc w:val="left"/>
      <w:pPr>
        <w:tabs>
          <w:tab w:val="left" w:pos="312"/>
        </w:tabs>
      </w:pPr>
    </w:lvl>
  </w:abstractNum>
  <w:abstractNum w:abstractNumId="6">
    <w:nsid w:val="14743DA3"/>
    <w:multiLevelType w:val="singleLevel"/>
    <w:tmpl w:val="14743DA3"/>
    <w:lvl w:ilvl="0" w:tentative="0">
      <w:start w:val="2"/>
      <w:numFmt w:val="decimal"/>
      <w:suff w:val="nothing"/>
      <w:lvlText w:val="（%1）"/>
      <w:lvlJc w:val="left"/>
    </w:lvl>
  </w:abstractNum>
  <w:abstractNum w:abstractNumId="7">
    <w:nsid w:val="1E38FB96"/>
    <w:multiLevelType w:val="singleLevel"/>
    <w:tmpl w:val="1E38FB96"/>
    <w:lvl w:ilvl="0" w:tentative="0">
      <w:start w:val="2"/>
      <w:numFmt w:val="chineseCounting"/>
      <w:suff w:val="nothing"/>
      <w:lvlText w:val="%1、"/>
      <w:lvlJc w:val="left"/>
      <w:rPr>
        <w:rFonts w:hint="eastAsia"/>
      </w:rPr>
    </w:lvl>
  </w:abstractNum>
  <w:abstractNum w:abstractNumId="8">
    <w:nsid w:val="1F1C03A3"/>
    <w:multiLevelType w:val="singleLevel"/>
    <w:tmpl w:val="1F1C03A3"/>
    <w:lvl w:ilvl="0" w:tentative="0">
      <w:start w:val="1"/>
      <w:numFmt w:val="decimal"/>
      <w:lvlText w:val="%1."/>
      <w:lvlJc w:val="left"/>
      <w:pPr>
        <w:tabs>
          <w:tab w:val="left" w:pos="312"/>
        </w:tabs>
      </w:pPr>
    </w:lvl>
  </w:abstractNum>
  <w:abstractNum w:abstractNumId="9">
    <w:nsid w:val="4892EB05"/>
    <w:multiLevelType w:val="singleLevel"/>
    <w:tmpl w:val="4892EB05"/>
    <w:lvl w:ilvl="0" w:tentative="0">
      <w:start w:val="1"/>
      <w:numFmt w:val="decimal"/>
      <w:lvlText w:val="%1."/>
      <w:lvlJc w:val="left"/>
      <w:pPr>
        <w:tabs>
          <w:tab w:val="left" w:pos="312"/>
        </w:tabs>
      </w:pPr>
    </w:lvl>
  </w:abstractNum>
  <w:abstractNum w:abstractNumId="10">
    <w:nsid w:val="60925E86"/>
    <w:multiLevelType w:val="singleLevel"/>
    <w:tmpl w:val="60925E86"/>
    <w:lvl w:ilvl="0" w:tentative="0">
      <w:start w:val="1"/>
      <w:numFmt w:val="chineseCounting"/>
      <w:suff w:val="nothing"/>
      <w:lvlText w:val="%1、"/>
      <w:lvlJc w:val="left"/>
      <w:rPr>
        <w:rFonts w:hint="eastAsia"/>
        <w:b/>
        <w:bCs/>
      </w:rPr>
    </w:lvl>
  </w:abstractNum>
  <w:abstractNum w:abstractNumId="11">
    <w:nsid w:val="6C052F3C"/>
    <w:multiLevelType w:val="singleLevel"/>
    <w:tmpl w:val="6C052F3C"/>
    <w:lvl w:ilvl="0" w:tentative="0">
      <w:start w:val="1"/>
      <w:numFmt w:val="decimal"/>
      <w:lvlText w:val="%1."/>
      <w:lvlJc w:val="left"/>
      <w:pPr>
        <w:tabs>
          <w:tab w:val="left" w:pos="312"/>
        </w:tabs>
      </w:pPr>
    </w:lvl>
  </w:abstractNum>
  <w:num w:numId="1">
    <w:abstractNumId w:val="7"/>
  </w:num>
  <w:num w:numId="2">
    <w:abstractNumId w:val="4"/>
  </w:num>
  <w:num w:numId="3">
    <w:abstractNumId w:val="2"/>
  </w:num>
  <w:num w:numId="4">
    <w:abstractNumId w:val="3"/>
  </w:num>
  <w:num w:numId="5">
    <w:abstractNumId w:val="0"/>
  </w:num>
  <w:num w:numId="6">
    <w:abstractNumId w:val="9"/>
  </w:num>
  <w:num w:numId="7">
    <w:abstractNumId w:val="1"/>
  </w:num>
  <w:num w:numId="8">
    <w:abstractNumId w:val="5"/>
  </w:num>
  <w:num w:numId="9">
    <w:abstractNumId w:val="11"/>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141268"/>
    <w:rsid w:val="0000323F"/>
    <w:rsid w:val="00006749"/>
    <w:rsid w:val="00010925"/>
    <w:rsid w:val="0001539D"/>
    <w:rsid w:val="000163D9"/>
    <w:rsid w:val="000320D6"/>
    <w:rsid w:val="0003538F"/>
    <w:rsid w:val="00042BC4"/>
    <w:rsid w:val="000459A0"/>
    <w:rsid w:val="00062662"/>
    <w:rsid w:val="00067A0C"/>
    <w:rsid w:val="00075F13"/>
    <w:rsid w:val="000768FD"/>
    <w:rsid w:val="000770B6"/>
    <w:rsid w:val="000919A2"/>
    <w:rsid w:val="00093185"/>
    <w:rsid w:val="000A2E1D"/>
    <w:rsid w:val="000A3D34"/>
    <w:rsid w:val="000D5805"/>
    <w:rsid w:val="000D607B"/>
    <w:rsid w:val="000D6271"/>
    <w:rsid w:val="000E1C00"/>
    <w:rsid w:val="000E257F"/>
    <w:rsid w:val="000F40AD"/>
    <w:rsid w:val="00104548"/>
    <w:rsid w:val="00107F93"/>
    <w:rsid w:val="00122668"/>
    <w:rsid w:val="001375BC"/>
    <w:rsid w:val="00141268"/>
    <w:rsid w:val="00141542"/>
    <w:rsid w:val="00141B6A"/>
    <w:rsid w:val="001472E7"/>
    <w:rsid w:val="00150A9F"/>
    <w:rsid w:val="00150E3C"/>
    <w:rsid w:val="00155762"/>
    <w:rsid w:val="00156146"/>
    <w:rsid w:val="00160496"/>
    <w:rsid w:val="00171B6C"/>
    <w:rsid w:val="0018067C"/>
    <w:rsid w:val="001843B3"/>
    <w:rsid w:val="001851B9"/>
    <w:rsid w:val="0019528B"/>
    <w:rsid w:val="00196484"/>
    <w:rsid w:val="001A57A3"/>
    <w:rsid w:val="001A593D"/>
    <w:rsid w:val="001B016C"/>
    <w:rsid w:val="001B5513"/>
    <w:rsid w:val="001B6CE4"/>
    <w:rsid w:val="001D08B8"/>
    <w:rsid w:val="001D45E3"/>
    <w:rsid w:val="001D4D69"/>
    <w:rsid w:val="001E5DC0"/>
    <w:rsid w:val="00200265"/>
    <w:rsid w:val="00201DBB"/>
    <w:rsid w:val="00204517"/>
    <w:rsid w:val="002104B7"/>
    <w:rsid w:val="002115D3"/>
    <w:rsid w:val="00213CE2"/>
    <w:rsid w:val="002142B2"/>
    <w:rsid w:val="00215B7F"/>
    <w:rsid w:val="002168A9"/>
    <w:rsid w:val="00216E62"/>
    <w:rsid w:val="00220B0E"/>
    <w:rsid w:val="00222D22"/>
    <w:rsid w:val="00230043"/>
    <w:rsid w:val="00231925"/>
    <w:rsid w:val="00233A25"/>
    <w:rsid w:val="00242FFF"/>
    <w:rsid w:val="002433ED"/>
    <w:rsid w:val="0024692F"/>
    <w:rsid w:val="00250600"/>
    <w:rsid w:val="0025713D"/>
    <w:rsid w:val="00271D69"/>
    <w:rsid w:val="00274F55"/>
    <w:rsid w:val="002772E9"/>
    <w:rsid w:val="00290B37"/>
    <w:rsid w:val="00292567"/>
    <w:rsid w:val="002937BA"/>
    <w:rsid w:val="002A454C"/>
    <w:rsid w:val="002B1949"/>
    <w:rsid w:val="002B3967"/>
    <w:rsid w:val="002C0087"/>
    <w:rsid w:val="002C4580"/>
    <w:rsid w:val="002C4E9D"/>
    <w:rsid w:val="002D04FE"/>
    <w:rsid w:val="002D65F7"/>
    <w:rsid w:val="002E0F68"/>
    <w:rsid w:val="002F2186"/>
    <w:rsid w:val="002F551C"/>
    <w:rsid w:val="00304F32"/>
    <w:rsid w:val="00307BF8"/>
    <w:rsid w:val="00311888"/>
    <w:rsid w:val="00314524"/>
    <w:rsid w:val="0032293E"/>
    <w:rsid w:val="00342E44"/>
    <w:rsid w:val="00367905"/>
    <w:rsid w:val="0037584D"/>
    <w:rsid w:val="00384002"/>
    <w:rsid w:val="00387FAF"/>
    <w:rsid w:val="00391C1E"/>
    <w:rsid w:val="00391C30"/>
    <w:rsid w:val="00396A88"/>
    <w:rsid w:val="003A0251"/>
    <w:rsid w:val="003A0A17"/>
    <w:rsid w:val="003A22B5"/>
    <w:rsid w:val="003A2537"/>
    <w:rsid w:val="003A7302"/>
    <w:rsid w:val="003B2EB6"/>
    <w:rsid w:val="003B4CE1"/>
    <w:rsid w:val="003B6FD6"/>
    <w:rsid w:val="003C2434"/>
    <w:rsid w:val="003C2E91"/>
    <w:rsid w:val="003C33FB"/>
    <w:rsid w:val="003C6B54"/>
    <w:rsid w:val="003D1701"/>
    <w:rsid w:val="003E2D02"/>
    <w:rsid w:val="003E3BDE"/>
    <w:rsid w:val="003E62C9"/>
    <w:rsid w:val="003F0F9E"/>
    <w:rsid w:val="003F4D25"/>
    <w:rsid w:val="00403B9D"/>
    <w:rsid w:val="00406686"/>
    <w:rsid w:val="00407533"/>
    <w:rsid w:val="004110A9"/>
    <w:rsid w:val="00415184"/>
    <w:rsid w:val="004236E9"/>
    <w:rsid w:val="00425E2E"/>
    <w:rsid w:val="00426FC6"/>
    <w:rsid w:val="004520AD"/>
    <w:rsid w:val="00452D6F"/>
    <w:rsid w:val="00465BA0"/>
    <w:rsid w:val="00467B74"/>
    <w:rsid w:val="00475C6A"/>
    <w:rsid w:val="004903AB"/>
    <w:rsid w:val="004943E0"/>
    <w:rsid w:val="004A3BCA"/>
    <w:rsid w:val="004A5FB7"/>
    <w:rsid w:val="004A6085"/>
    <w:rsid w:val="004B432E"/>
    <w:rsid w:val="004C20E5"/>
    <w:rsid w:val="004D2F0D"/>
    <w:rsid w:val="004D3450"/>
    <w:rsid w:val="004E076E"/>
    <w:rsid w:val="004F7CE5"/>
    <w:rsid w:val="00503E02"/>
    <w:rsid w:val="00510F92"/>
    <w:rsid w:val="00526E1E"/>
    <w:rsid w:val="0053348F"/>
    <w:rsid w:val="00533C40"/>
    <w:rsid w:val="00534BC9"/>
    <w:rsid w:val="00540E4B"/>
    <w:rsid w:val="00541FD2"/>
    <w:rsid w:val="0055348E"/>
    <w:rsid w:val="00553CED"/>
    <w:rsid w:val="00555D07"/>
    <w:rsid w:val="00573AAC"/>
    <w:rsid w:val="005771CC"/>
    <w:rsid w:val="00577935"/>
    <w:rsid w:val="00577E24"/>
    <w:rsid w:val="00583275"/>
    <w:rsid w:val="00592CD6"/>
    <w:rsid w:val="005931BD"/>
    <w:rsid w:val="0059466F"/>
    <w:rsid w:val="005B33C8"/>
    <w:rsid w:val="005B3D59"/>
    <w:rsid w:val="005B48D7"/>
    <w:rsid w:val="005B63DF"/>
    <w:rsid w:val="005C0CF6"/>
    <w:rsid w:val="005C74E3"/>
    <w:rsid w:val="005D05F8"/>
    <w:rsid w:val="005E3A65"/>
    <w:rsid w:val="005E6BE7"/>
    <w:rsid w:val="005E776E"/>
    <w:rsid w:val="00602B65"/>
    <w:rsid w:val="00602F95"/>
    <w:rsid w:val="006121C4"/>
    <w:rsid w:val="00612768"/>
    <w:rsid w:val="00613A68"/>
    <w:rsid w:val="00616783"/>
    <w:rsid w:val="00616FD9"/>
    <w:rsid w:val="0061763D"/>
    <w:rsid w:val="00617DF9"/>
    <w:rsid w:val="00617E00"/>
    <w:rsid w:val="00622DE5"/>
    <w:rsid w:val="00631159"/>
    <w:rsid w:val="00637BF1"/>
    <w:rsid w:val="00641CAB"/>
    <w:rsid w:val="00653AA9"/>
    <w:rsid w:val="00676C29"/>
    <w:rsid w:val="00691AF4"/>
    <w:rsid w:val="006927EB"/>
    <w:rsid w:val="006B0123"/>
    <w:rsid w:val="006C78A3"/>
    <w:rsid w:val="006D2DD9"/>
    <w:rsid w:val="006E5F59"/>
    <w:rsid w:val="006E7093"/>
    <w:rsid w:val="006F0287"/>
    <w:rsid w:val="006F05AC"/>
    <w:rsid w:val="006F4358"/>
    <w:rsid w:val="0070123E"/>
    <w:rsid w:val="00707F95"/>
    <w:rsid w:val="00710885"/>
    <w:rsid w:val="00713B17"/>
    <w:rsid w:val="00721FF7"/>
    <w:rsid w:val="00731934"/>
    <w:rsid w:val="00755529"/>
    <w:rsid w:val="007558D3"/>
    <w:rsid w:val="00757A2A"/>
    <w:rsid w:val="00761F91"/>
    <w:rsid w:val="0076713C"/>
    <w:rsid w:val="00770FEB"/>
    <w:rsid w:val="00773738"/>
    <w:rsid w:val="00776F1C"/>
    <w:rsid w:val="00794290"/>
    <w:rsid w:val="007942A1"/>
    <w:rsid w:val="007943D2"/>
    <w:rsid w:val="007958F8"/>
    <w:rsid w:val="007A4307"/>
    <w:rsid w:val="007A4F65"/>
    <w:rsid w:val="007A7728"/>
    <w:rsid w:val="007B399C"/>
    <w:rsid w:val="007D0313"/>
    <w:rsid w:val="007D2643"/>
    <w:rsid w:val="007D3E6D"/>
    <w:rsid w:val="007E1ED9"/>
    <w:rsid w:val="007F1F2A"/>
    <w:rsid w:val="00805732"/>
    <w:rsid w:val="0081182D"/>
    <w:rsid w:val="00822AF1"/>
    <w:rsid w:val="008338BE"/>
    <w:rsid w:val="00834234"/>
    <w:rsid w:val="0083544A"/>
    <w:rsid w:val="008411FA"/>
    <w:rsid w:val="008459C9"/>
    <w:rsid w:val="00853664"/>
    <w:rsid w:val="008618CA"/>
    <w:rsid w:val="00862D53"/>
    <w:rsid w:val="0087121F"/>
    <w:rsid w:val="00871B03"/>
    <w:rsid w:val="0087403F"/>
    <w:rsid w:val="00876B95"/>
    <w:rsid w:val="00876CA2"/>
    <w:rsid w:val="0089783B"/>
    <w:rsid w:val="00897B14"/>
    <w:rsid w:val="008A3B79"/>
    <w:rsid w:val="008B6F23"/>
    <w:rsid w:val="008C476F"/>
    <w:rsid w:val="008C552E"/>
    <w:rsid w:val="008C581F"/>
    <w:rsid w:val="008C5D7A"/>
    <w:rsid w:val="008D028F"/>
    <w:rsid w:val="008D1BDB"/>
    <w:rsid w:val="008D253B"/>
    <w:rsid w:val="008E1A4C"/>
    <w:rsid w:val="008E7341"/>
    <w:rsid w:val="008F0BA6"/>
    <w:rsid w:val="008F197F"/>
    <w:rsid w:val="0091177C"/>
    <w:rsid w:val="00912816"/>
    <w:rsid w:val="00914214"/>
    <w:rsid w:val="00915FB1"/>
    <w:rsid w:val="009226D2"/>
    <w:rsid w:val="00935CC3"/>
    <w:rsid w:val="00936BE2"/>
    <w:rsid w:val="00940BCE"/>
    <w:rsid w:val="00944FDA"/>
    <w:rsid w:val="00947B05"/>
    <w:rsid w:val="00952034"/>
    <w:rsid w:val="00952F7A"/>
    <w:rsid w:val="00956ADE"/>
    <w:rsid w:val="00966301"/>
    <w:rsid w:val="00990C39"/>
    <w:rsid w:val="009A2065"/>
    <w:rsid w:val="009A2A89"/>
    <w:rsid w:val="009A4462"/>
    <w:rsid w:val="009A792C"/>
    <w:rsid w:val="009A7F41"/>
    <w:rsid w:val="009C062C"/>
    <w:rsid w:val="009C0E9B"/>
    <w:rsid w:val="009D0CE7"/>
    <w:rsid w:val="009D0F1D"/>
    <w:rsid w:val="009D269D"/>
    <w:rsid w:val="009E42D5"/>
    <w:rsid w:val="009E775C"/>
    <w:rsid w:val="009F31A2"/>
    <w:rsid w:val="009F4E67"/>
    <w:rsid w:val="009F5D6F"/>
    <w:rsid w:val="00A0017E"/>
    <w:rsid w:val="00A03BB5"/>
    <w:rsid w:val="00A257A9"/>
    <w:rsid w:val="00A2666F"/>
    <w:rsid w:val="00A33ACA"/>
    <w:rsid w:val="00A361CD"/>
    <w:rsid w:val="00A40265"/>
    <w:rsid w:val="00A653FB"/>
    <w:rsid w:val="00A74BFE"/>
    <w:rsid w:val="00A8103A"/>
    <w:rsid w:val="00A82C56"/>
    <w:rsid w:val="00A928B1"/>
    <w:rsid w:val="00A95A50"/>
    <w:rsid w:val="00A95E76"/>
    <w:rsid w:val="00AB1160"/>
    <w:rsid w:val="00AB7DF3"/>
    <w:rsid w:val="00AC02E6"/>
    <w:rsid w:val="00AC31C6"/>
    <w:rsid w:val="00AC3856"/>
    <w:rsid w:val="00AC4E45"/>
    <w:rsid w:val="00AC4FFA"/>
    <w:rsid w:val="00AC5B88"/>
    <w:rsid w:val="00AF07B2"/>
    <w:rsid w:val="00AF74AC"/>
    <w:rsid w:val="00B05223"/>
    <w:rsid w:val="00B15DE1"/>
    <w:rsid w:val="00B405FE"/>
    <w:rsid w:val="00B45520"/>
    <w:rsid w:val="00B522A4"/>
    <w:rsid w:val="00B52EE9"/>
    <w:rsid w:val="00B5314B"/>
    <w:rsid w:val="00B92681"/>
    <w:rsid w:val="00B9502A"/>
    <w:rsid w:val="00B96426"/>
    <w:rsid w:val="00BA071E"/>
    <w:rsid w:val="00BA3398"/>
    <w:rsid w:val="00BB06FC"/>
    <w:rsid w:val="00BB198E"/>
    <w:rsid w:val="00BB5645"/>
    <w:rsid w:val="00BB7B59"/>
    <w:rsid w:val="00BD5250"/>
    <w:rsid w:val="00BD562F"/>
    <w:rsid w:val="00BD66B0"/>
    <w:rsid w:val="00BE642A"/>
    <w:rsid w:val="00BF03E1"/>
    <w:rsid w:val="00BF57B0"/>
    <w:rsid w:val="00C02C90"/>
    <w:rsid w:val="00C03790"/>
    <w:rsid w:val="00C1074B"/>
    <w:rsid w:val="00C162B2"/>
    <w:rsid w:val="00C17322"/>
    <w:rsid w:val="00C20D4E"/>
    <w:rsid w:val="00C23359"/>
    <w:rsid w:val="00C24860"/>
    <w:rsid w:val="00C3784B"/>
    <w:rsid w:val="00C42915"/>
    <w:rsid w:val="00C4330C"/>
    <w:rsid w:val="00C570CA"/>
    <w:rsid w:val="00C638FC"/>
    <w:rsid w:val="00C64012"/>
    <w:rsid w:val="00C70D55"/>
    <w:rsid w:val="00C77092"/>
    <w:rsid w:val="00C9502B"/>
    <w:rsid w:val="00C95AA4"/>
    <w:rsid w:val="00CC1483"/>
    <w:rsid w:val="00CC26F7"/>
    <w:rsid w:val="00CC6AF6"/>
    <w:rsid w:val="00CD3EE4"/>
    <w:rsid w:val="00CD4985"/>
    <w:rsid w:val="00CE10C3"/>
    <w:rsid w:val="00CE54C8"/>
    <w:rsid w:val="00CE5C93"/>
    <w:rsid w:val="00CF09A9"/>
    <w:rsid w:val="00CF1448"/>
    <w:rsid w:val="00D0353B"/>
    <w:rsid w:val="00D03A8A"/>
    <w:rsid w:val="00D130DB"/>
    <w:rsid w:val="00D16CEC"/>
    <w:rsid w:val="00D17B6D"/>
    <w:rsid w:val="00D3234C"/>
    <w:rsid w:val="00D32886"/>
    <w:rsid w:val="00D348E7"/>
    <w:rsid w:val="00D373EA"/>
    <w:rsid w:val="00D37A5F"/>
    <w:rsid w:val="00D43607"/>
    <w:rsid w:val="00D443B5"/>
    <w:rsid w:val="00D4468D"/>
    <w:rsid w:val="00D452C8"/>
    <w:rsid w:val="00D453CC"/>
    <w:rsid w:val="00D46B28"/>
    <w:rsid w:val="00D518DB"/>
    <w:rsid w:val="00D617E6"/>
    <w:rsid w:val="00D71E80"/>
    <w:rsid w:val="00D8338C"/>
    <w:rsid w:val="00D83CB4"/>
    <w:rsid w:val="00D9238D"/>
    <w:rsid w:val="00D935E3"/>
    <w:rsid w:val="00DA7B66"/>
    <w:rsid w:val="00DB223C"/>
    <w:rsid w:val="00DB3962"/>
    <w:rsid w:val="00DB471E"/>
    <w:rsid w:val="00DC35C0"/>
    <w:rsid w:val="00DE0527"/>
    <w:rsid w:val="00DE1F0A"/>
    <w:rsid w:val="00DE2380"/>
    <w:rsid w:val="00DE41F5"/>
    <w:rsid w:val="00DF613B"/>
    <w:rsid w:val="00DF6BF2"/>
    <w:rsid w:val="00E1373F"/>
    <w:rsid w:val="00E1405B"/>
    <w:rsid w:val="00E16143"/>
    <w:rsid w:val="00E17494"/>
    <w:rsid w:val="00E25D04"/>
    <w:rsid w:val="00E41607"/>
    <w:rsid w:val="00E45814"/>
    <w:rsid w:val="00E4717B"/>
    <w:rsid w:val="00E47C34"/>
    <w:rsid w:val="00E559D9"/>
    <w:rsid w:val="00E56F18"/>
    <w:rsid w:val="00E62EC0"/>
    <w:rsid w:val="00E6458C"/>
    <w:rsid w:val="00E662C2"/>
    <w:rsid w:val="00E66C9E"/>
    <w:rsid w:val="00E762A8"/>
    <w:rsid w:val="00E76A6D"/>
    <w:rsid w:val="00E773A9"/>
    <w:rsid w:val="00E83287"/>
    <w:rsid w:val="00E927AC"/>
    <w:rsid w:val="00E934CD"/>
    <w:rsid w:val="00EA07F4"/>
    <w:rsid w:val="00EA140F"/>
    <w:rsid w:val="00EA4CBD"/>
    <w:rsid w:val="00EB3249"/>
    <w:rsid w:val="00EB5620"/>
    <w:rsid w:val="00EB57DF"/>
    <w:rsid w:val="00EC019B"/>
    <w:rsid w:val="00EC0DC9"/>
    <w:rsid w:val="00EC73D7"/>
    <w:rsid w:val="00ED1854"/>
    <w:rsid w:val="00ED3EF7"/>
    <w:rsid w:val="00EE1C6A"/>
    <w:rsid w:val="00EE57FB"/>
    <w:rsid w:val="00EE635C"/>
    <w:rsid w:val="00EF2C74"/>
    <w:rsid w:val="00F056C5"/>
    <w:rsid w:val="00F07260"/>
    <w:rsid w:val="00F07575"/>
    <w:rsid w:val="00F21A8E"/>
    <w:rsid w:val="00F30540"/>
    <w:rsid w:val="00F32188"/>
    <w:rsid w:val="00F35806"/>
    <w:rsid w:val="00F4631C"/>
    <w:rsid w:val="00F506D6"/>
    <w:rsid w:val="00F50D0E"/>
    <w:rsid w:val="00F571A1"/>
    <w:rsid w:val="00F61BB7"/>
    <w:rsid w:val="00F77C81"/>
    <w:rsid w:val="00F87D8E"/>
    <w:rsid w:val="00FA2002"/>
    <w:rsid w:val="00FA5337"/>
    <w:rsid w:val="00FB3015"/>
    <w:rsid w:val="00FB347D"/>
    <w:rsid w:val="00FB7072"/>
    <w:rsid w:val="00FC6DCA"/>
    <w:rsid w:val="00FD3659"/>
    <w:rsid w:val="00FF01BD"/>
    <w:rsid w:val="00FF1F41"/>
    <w:rsid w:val="00FF42E3"/>
    <w:rsid w:val="01F073C0"/>
    <w:rsid w:val="020E7208"/>
    <w:rsid w:val="036E4776"/>
    <w:rsid w:val="0531536A"/>
    <w:rsid w:val="05494591"/>
    <w:rsid w:val="057C19CF"/>
    <w:rsid w:val="062910C4"/>
    <w:rsid w:val="06772A39"/>
    <w:rsid w:val="07FF7C23"/>
    <w:rsid w:val="08851AEA"/>
    <w:rsid w:val="089C2AEB"/>
    <w:rsid w:val="09006DE8"/>
    <w:rsid w:val="0A5C17E2"/>
    <w:rsid w:val="0A742C38"/>
    <w:rsid w:val="0AE12991"/>
    <w:rsid w:val="0B017832"/>
    <w:rsid w:val="0B226AAC"/>
    <w:rsid w:val="0B771A7F"/>
    <w:rsid w:val="0D5F5E5E"/>
    <w:rsid w:val="0D812F50"/>
    <w:rsid w:val="0DB80C38"/>
    <w:rsid w:val="0E923AB8"/>
    <w:rsid w:val="0EDF189F"/>
    <w:rsid w:val="0EF978C9"/>
    <w:rsid w:val="0FCF3B62"/>
    <w:rsid w:val="0FD232AB"/>
    <w:rsid w:val="100C5605"/>
    <w:rsid w:val="101078F2"/>
    <w:rsid w:val="10370157"/>
    <w:rsid w:val="10B105F9"/>
    <w:rsid w:val="11350A52"/>
    <w:rsid w:val="115D680A"/>
    <w:rsid w:val="136B6B5B"/>
    <w:rsid w:val="138040AC"/>
    <w:rsid w:val="13CC0DE2"/>
    <w:rsid w:val="143F5A4B"/>
    <w:rsid w:val="15537FD0"/>
    <w:rsid w:val="15993466"/>
    <w:rsid w:val="15A010C9"/>
    <w:rsid w:val="162B4A3A"/>
    <w:rsid w:val="166D749C"/>
    <w:rsid w:val="171138D1"/>
    <w:rsid w:val="17646569"/>
    <w:rsid w:val="17D26797"/>
    <w:rsid w:val="180D0A38"/>
    <w:rsid w:val="181507EC"/>
    <w:rsid w:val="18BA5D3E"/>
    <w:rsid w:val="1A171025"/>
    <w:rsid w:val="1A7C5A08"/>
    <w:rsid w:val="1AAE4FA3"/>
    <w:rsid w:val="1B0D514B"/>
    <w:rsid w:val="1B5450CD"/>
    <w:rsid w:val="1BC210F8"/>
    <w:rsid w:val="1BE03B35"/>
    <w:rsid w:val="1CA0073D"/>
    <w:rsid w:val="1D257A25"/>
    <w:rsid w:val="1D7019C1"/>
    <w:rsid w:val="1D8D5F92"/>
    <w:rsid w:val="1E030E2D"/>
    <w:rsid w:val="1E126023"/>
    <w:rsid w:val="1E731769"/>
    <w:rsid w:val="1EC42708"/>
    <w:rsid w:val="1EF74F05"/>
    <w:rsid w:val="1FD04606"/>
    <w:rsid w:val="20665BD8"/>
    <w:rsid w:val="21062152"/>
    <w:rsid w:val="21301DD8"/>
    <w:rsid w:val="231674E1"/>
    <w:rsid w:val="24783C44"/>
    <w:rsid w:val="24D942F0"/>
    <w:rsid w:val="250374A1"/>
    <w:rsid w:val="252561AB"/>
    <w:rsid w:val="25CC0CD1"/>
    <w:rsid w:val="25CC6106"/>
    <w:rsid w:val="26197B85"/>
    <w:rsid w:val="2666271B"/>
    <w:rsid w:val="27961878"/>
    <w:rsid w:val="288A47E4"/>
    <w:rsid w:val="29011526"/>
    <w:rsid w:val="2A4B0EEB"/>
    <w:rsid w:val="2A661498"/>
    <w:rsid w:val="2AAF25C4"/>
    <w:rsid w:val="2AFD687F"/>
    <w:rsid w:val="2B6568C2"/>
    <w:rsid w:val="2BBB5A78"/>
    <w:rsid w:val="2CAE1DEC"/>
    <w:rsid w:val="2CBD461D"/>
    <w:rsid w:val="2D0048C5"/>
    <w:rsid w:val="2D2741D0"/>
    <w:rsid w:val="2D6B77AB"/>
    <w:rsid w:val="2DA03EE1"/>
    <w:rsid w:val="2DC10765"/>
    <w:rsid w:val="2EB326E9"/>
    <w:rsid w:val="305F7EDA"/>
    <w:rsid w:val="310E6928"/>
    <w:rsid w:val="31451A70"/>
    <w:rsid w:val="32055A08"/>
    <w:rsid w:val="326E42CA"/>
    <w:rsid w:val="328F6A04"/>
    <w:rsid w:val="32A61D1F"/>
    <w:rsid w:val="34463A90"/>
    <w:rsid w:val="34A572A4"/>
    <w:rsid w:val="34D463C0"/>
    <w:rsid w:val="350D611C"/>
    <w:rsid w:val="350E45C2"/>
    <w:rsid w:val="360006FF"/>
    <w:rsid w:val="360C2C86"/>
    <w:rsid w:val="366D424F"/>
    <w:rsid w:val="37311F73"/>
    <w:rsid w:val="37411AD4"/>
    <w:rsid w:val="37793113"/>
    <w:rsid w:val="37A21406"/>
    <w:rsid w:val="386552C8"/>
    <w:rsid w:val="394F14E9"/>
    <w:rsid w:val="396A4815"/>
    <w:rsid w:val="39A967B6"/>
    <w:rsid w:val="3C6125D4"/>
    <w:rsid w:val="3CAF2DCF"/>
    <w:rsid w:val="3D4109F4"/>
    <w:rsid w:val="3D520FA0"/>
    <w:rsid w:val="3D5E3DBA"/>
    <w:rsid w:val="3DEC3B3F"/>
    <w:rsid w:val="3E3D0680"/>
    <w:rsid w:val="3E67742B"/>
    <w:rsid w:val="406D239D"/>
    <w:rsid w:val="407B6311"/>
    <w:rsid w:val="40CF41C7"/>
    <w:rsid w:val="4239716A"/>
    <w:rsid w:val="43631CF8"/>
    <w:rsid w:val="43C1018F"/>
    <w:rsid w:val="448055B9"/>
    <w:rsid w:val="44DC56AB"/>
    <w:rsid w:val="458E0345"/>
    <w:rsid w:val="46482053"/>
    <w:rsid w:val="4664756B"/>
    <w:rsid w:val="469D503A"/>
    <w:rsid w:val="48445D74"/>
    <w:rsid w:val="485C1320"/>
    <w:rsid w:val="4922278E"/>
    <w:rsid w:val="493C70E3"/>
    <w:rsid w:val="49E7510A"/>
    <w:rsid w:val="4A052F3B"/>
    <w:rsid w:val="4AD0079F"/>
    <w:rsid w:val="4BC556CB"/>
    <w:rsid w:val="4BF24937"/>
    <w:rsid w:val="4D297CA2"/>
    <w:rsid w:val="4DB30BC7"/>
    <w:rsid w:val="4DC8483A"/>
    <w:rsid w:val="4F432DCA"/>
    <w:rsid w:val="50AE67C4"/>
    <w:rsid w:val="50BD5327"/>
    <w:rsid w:val="51736813"/>
    <w:rsid w:val="51811314"/>
    <w:rsid w:val="51BC4B89"/>
    <w:rsid w:val="51BC71D1"/>
    <w:rsid w:val="51C84099"/>
    <w:rsid w:val="51DA0B48"/>
    <w:rsid w:val="521824FF"/>
    <w:rsid w:val="52F33EAA"/>
    <w:rsid w:val="53917DE2"/>
    <w:rsid w:val="54BC32DA"/>
    <w:rsid w:val="57B2279D"/>
    <w:rsid w:val="57FA051E"/>
    <w:rsid w:val="58377055"/>
    <w:rsid w:val="58554C87"/>
    <w:rsid w:val="58744380"/>
    <w:rsid w:val="595E4F32"/>
    <w:rsid w:val="5A7E792F"/>
    <w:rsid w:val="5AB85B0F"/>
    <w:rsid w:val="5C181629"/>
    <w:rsid w:val="5D997672"/>
    <w:rsid w:val="5DF351DD"/>
    <w:rsid w:val="5E3712F7"/>
    <w:rsid w:val="5F2451DD"/>
    <w:rsid w:val="60365B77"/>
    <w:rsid w:val="614440DD"/>
    <w:rsid w:val="61B04DC4"/>
    <w:rsid w:val="63707939"/>
    <w:rsid w:val="63BD624B"/>
    <w:rsid w:val="644836A2"/>
    <w:rsid w:val="653D1340"/>
    <w:rsid w:val="65E651D2"/>
    <w:rsid w:val="66593F79"/>
    <w:rsid w:val="66D12C3E"/>
    <w:rsid w:val="67170A5F"/>
    <w:rsid w:val="67187598"/>
    <w:rsid w:val="68165925"/>
    <w:rsid w:val="68372201"/>
    <w:rsid w:val="683F6AF8"/>
    <w:rsid w:val="68795174"/>
    <w:rsid w:val="68A43DA0"/>
    <w:rsid w:val="69F136C8"/>
    <w:rsid w:val="69F6162F"/>
    <w:rsid w:val="69F72C21"/>
    <w:rsid w:val="6AD8420E"/>
    <w:rsid w:val="6B272EAA"/>
    <w:rsid w:val="6C377E90"/>
    <w:rsid w:val="6C705C7E"/>
    <w:rsid w:val="6C9A1BF1"/>
    <w:rsid w:val="6D1E6D1A"/>
    <w:rsid w:val="6DB067E7"/>
    <w:rsid w:val="6DC10391"/>
    <w:rsid w:val="6E5531E7"/>
    <w:rsid w:val="6EBA3E17"/>
    <w:rsid w:val="6F8E49C2"/>
    <w:rsid w:val="6FA44A87"/>
    <w:rsid w:val="6FFD5267"/>
    <w:rsid w:val="70DD2955"/>
    <w:rsid w:val="71067688"/>
    <w:rsid w:val="71372114"/>
    <w:rsid w:val="71F65373"/>
    <w:rsid w:val="73214465"/>
    <w:rsid w:val="73227D84"/>
    <w:rsid w:val="74AF597B"/>
    <w:rsid w:val="7521721F"/>
    <w:rsid w:val="7573771A"/>
    <w:rsid w:val="758677D5"/>
    <w:rsid w:val="75EF1F91"/>
    <w:rsid w:val="767A68F9"/>
    <w:rsid w:val="76B422DF"/>
    <w:rsid w:val="77D22EA8"/>
    <w:rsid w:val="780D51FA"/>
    <w:rsid w:val="78103CF9"/>
    <w:rsid w:val="78120238"/>
    <w:rsid w:val="789C25DF"/>
    <w:rsid w:val="78D35721"/>
    <w:rsid w:val="7A0A4A37"/>
    <w:rsid w:val="7B9231A6"/>
    <w:rsid w:val="7C120846"/>
    <w:rsid w:val="7C8E7DED"/>
    <w:rsid w:val="7CE22C3A"/>
    <w:rsid w:val="7CEB4EEB"/>
    <w:rsid w:val="7E6E6EA8"/>
    <w:rsid w:val="7EB268B9"/>
    <w:rsid w:val="7EF24391"/>
    <w:rsid w:val="7F4E65E2"/>
    <w:rsid w:val="7FDC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Date"/>
    <w:basedOn w:val="1"/>
    <w:next w:val="1"/>
    <w:qFormat/>
    <w:uiPriority w:val="0"/>
    <w:rPr>
      <w:rFonts w:ascii="仿宋_GB2312" w:hAnsi="宋体" w:eastAsia="仿宋_GB2312"/>
      <w:sz w:val="30"/>
    </w:rPr>
  </w:style>
  <w:style w:type="paragraph" w:styleId="6">
    <w:name w:val="Body Text Indent 2"/>
    <w:basedOn w:val="1"/>
    <w:qFormat/>
    <w:uiPriority w:val="0"/>
    <w:pPr>
      <w:ind w:firstLine="2240" w:firstLineChars="800"/>
    </w:pPr>
    <w:rPr>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qFormat/>
    <w:uiPriority w:val="0"/>
    <w:pPr>
      <w:jc w:val="left"/>
    </w:pPr>
    <w:rPr>
      <w:sz w:val="28"/>
    </w:rPr>
  </w:style>
  <w:style w:type="paragraph" w:styleId="11">
    <w:name w:val="Body Text First Indent"/>
    <w:basedOn w:val="3"/>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Char Char1 Char Char Char 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skc</Company>
  <Pages>10</Pages>
  <Words>5285</Words>
  <Characters>5578</Characters>
  <Lines>50</Lines>
  <Paragraphs>14</Paragraphs>
  <TotalTime>4</TotalTime>
  <ScaleCrop>false</ScaleCrop>
  <LinksUpToDate>false</LinksUpToDate>
  <CharactersWithSpaces>5981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2018-12-21T06:59:00Z</dcterms:created>
  <dc:creator>霍志刚</dc:creator>
  <cp:lastModifiedBy>老根</cp:lastModifiedBy>
  <cp:lastPrinted>2018-01-04T02:25:00Z</cp:lastPrinted>
  <dcterms:modified xsi:type="dcterms:W3CDTF">2024-11-04T01:29:16Z</dcterms:modified>
  <dc:title>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FBC902A9663E42B58EA8CE6E26C2FAD0_13</vt:lpwstr>
  </property>
</Properties>
</file>