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E6EAF">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双减背景下县域高中教学质量提升策略研究</w:t>
      </w:r>
    </w:p>
    <w:p w14:paraId="08D9457A">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一、简介部分</w:t>
      </w:r>
    </w:p>
    <w:p w14:paraId="6A15F2E9">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标题</w:t>
      </w:r>
    </w:p>
    <w:p w14:paraId="0161C638">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双减背景下县域高中教学质量提升策略研究 </w:t>
      </w:r>
    </w:p>
    <w:p w14:paraId="1FEFDCD0">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摘要（200字）</w:t>
      </w:r>
    </w:p>
    <w:p w14:paraId="3B172E84">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为全面贯彻党的教育方针,落实“立德树人”根本任务，扎实推进“双减”工作成效，深化细化教育教学工作例会精神，加快建设高质量教育体系、发展素质教育、促进教育公平，推进教育发展共同体建设。</w:t>
      </w:r>
      <w:r>
        <w:rPr>
          <w:rFonts w:hint="eastAsia" w:ascii="仿宋" w:hAnsi="仿宋" w:eastAsia="仿宋" w:cs="仿宋"/>
          <w:b w:val="0"/>
          <w:bCs w:val="0"/>
          <w:color w:val="auto"/>
          <w:sz w:val="24"/>
          <w:szCs w:val="24"/>
          <w:lang w:val="en-US" w:eastAsia="zh-CN"/>
        </w:rPr>
        <w:t>需</w:t>
      </w:r>
      <w:r>
        <w:rPr>
          <w:rFonts w:hint="eastAsia" w:ascii="仿宋" w:hAnsi="仿宋" w:eastAsia="仿宋" w:cs="仿宋"/>
          <w:b w:val="0"/>
          <w:bCs w:val="0"/>
          <w:color w:val="auto"/>
          <w:sz w:val="24"/>
          <w:szCs w:val="24"/>
        </w:rPr>
        <w:t>基础教育学校</w:t>
      </w:r>
      <w:r>
        <w:rPr>
          <w:rFonts w:hint="eastAsia" w:ascii="仿宋" w:hAnsi="仿宋" w:eastAsia="仿宋" w:cs="仿宋"/>
          <w:b w:val="0"/>
          <w:bCs w:val="0"/>
          <w:color w:val="auto"/>
          <w:sz w:val="24"/>
          <w:szCs w:val="24"/>
          <w:lang w:val="en-US" w:eastAsia="zh-CN"/>
        </w:rPr>
        <w:t>克服</w:t>
      </w:r>
      <w:r>
        <w:rPr>
          <w:rFonts w:hint="eastAsia" w:ascii="仿宋" w:hAnsi="仿宋" w:eastAsia="仿宋" w:cs="仿宋"/>
          <w:b w:val="0"/>
          <w:bCs w:val="0"/>
          <w:color w:val="auto"/>
          <w:sz w:val="24"/>
          <w:szCs w:val="24"/>
        </w:rPr>
        <w:t>“减负提效”的硬核挑战，这需要学校管理者从管理理念、课堂体系构建、课后教学质量检测评价等多维度进行调整和创新。</w:t>
      </w:r>
      <w:r>
        <w:rPr>
          <w:rFonts w:hint="eastAsia" w:ascii="仿宋" w:hAnsi="仿宋" w:eastAsia="仿宋" w:cs="仿宋"/>
          <w:b w:val="0"/>
          <w:bCs w:val="0"/>
          <w:color w:val="auto"/>
          <w:sz w:val="24"/>
          <w:szCs w:val="24"/>
          <w:lang w:val="en-US" w:eastAsia="zh-CN"/>
        </w:rPr>
        <w:t>基于此，课题研究中以“双减政策”为导向，在学生课业负担上做减法，在教育责任、教育质量上做加法，针对县域高中教学质量提升策略开展研究。</w:t>
      </w:r>
    </w:p>
    <w:p w14:paraId="4B18B9CF">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二、主体部分</w:t>
      </w:r>
    </w:p>
    <w:p w14:paraId="63D55DE3">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研究问题：研究目的－研究意义－研究假设</w:t>
      </w:r>
    </w:p>
    <w:p w14:paraId="3C7F14CA">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研究目的</w:t>
      </w:r>
    </w:p>
    <w:p w14:paraId="6131168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（1）深刻理解双减背景下县域高中教学质量提升的含义，分析县域高中教学质量提升的现状，明确县域高中教学质量提升的具体内容。</w:t>
      </w:r>
    </w:p>
    <w:p w14:paraId="51B66C2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（2）深入开展教学实践研讨交流活动，</w:t>
      </w:r>
      <w:r>
        <w:rPr>
          <w:rFonts w:hint="eastAsia" w:ascii="仿宋" w:hAnsi="仿宋" w:eastAsia="仿宋" w:cs="仿宋"/>
          <w:color w:val="auto"/>
          <w:sz w:val="24"/>
          <w:szCs w:val="24"/>
          <w:lang w:bidi="ar"/>
        </w:rPr>
        <w:t>进一步完善</w:t>
      </w:r>
      <w:r>
        <w:rPr>
          <w:rFonts w:hint="eastAsia" w:ascii="仿宋" w:hAnsi="仿宋" w:eastAsia="仿宋" w:cs="仿宋"/>
          <w:color w:val="auto"/>
          <w:sz w:val="24"/>
          <w:szCs w:val="24"/>
          <w:lang w:eastAsia="zh-CN" w:bidi="ar"/>
        </w:rPr>
        <w:t>双减</w:t>
      </w:r>
      <w:r>
        <w:rPr>
          <w:rFonts w:hint="eastAsia" w:ascii="仿宋" w:hAnsi="仿宋" w:eastAsia="仿宋" w:cs="仿宋"/>
          <w:color w:val="auto"/>
          <w:sz w:val="24"/>
          <w:szCs w:val="24"/>
          <w:lang w:bidi="ar"/>
        </w:rPr>
        <w:t>内涵</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探索并总结</w:t>
      </w:r>
      <w:r>
        <w:rPr>
          <w:rFonts w:hint="eastAsia" w:ascii="仿宋" w:hAnsi="仿宋" w:eastAsia="仿宋" w:cs="仿宋"/>
          <w:color w:val="auto"/>
          <w:sz w:val="24"/>
          <w:szCs w:val="24"/>
          <w:lang w:eastAsia="zh-CN" w:bidi="ar"/>
        </w:rPr>
        <w:t>县域高中教学质量提升的策略和方法，</w:t>
      </w:r>
      <w:r>
        <w:rPr>
          <w:rFonts w:hint="eastAsia" w:ascii="仿宋" w:hAnsi="仿宋" w:eastAsia="仿宋" w:cs="仿宋"/>
          <w:color w:val="auto"/>
          <w:sz w:val="24"/>
          <w:szCs w:val="24"/>
          <w:lang w:bidi="ar"/>
        </w:rPr>
        <w:t>建立</w:t>
      </w:r>
      <w:r>
        <w:rPr>
          <w:rFonts w:hint="eastAsia" w:ascii="仿宋" w:hAnsi="仿宋" w:eastAsia="仿宋" w:cs="仿宋"/>
          <w:color w:val="auto"/>
          <w:sz w:val="24"/>
          <w:szCs w:val="24"/>
          <w:lang w:val="en-US" w:eastAsia="zh-CN" w:bidi="ar"/>
        </w:rPr>
        <w:t>高水平</w:t>
      </w:r>
      <w:r>
        <w:rPr>
          <w:rFonts w:hint="eastAsia" w:ascii="仿宋" w:hAnsi="仿宋" w:eastAsia="仿宋" w:cs="仿宋"/>
          <w:color w:val="auto"/>
          <w:sz w:val="24"/>
          <w:szCs w:val="24"/>
          <w:lang w:bidi="ar"/>
        </w:rPr>
        <w:t>的</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体系</w:t>
      </w:r>
      <w:r>
        <w:rPr>
          <w:rFonts w:hint="eastAsia" w:ascii="仿宋" w:hAnsi="仿宋" w:eastAsia="仿宋" w:cs="仿宋"/>
          <w:color w:val="auto"/>
          <w:sz w:val="24"/>
          <w:szCs w:val="24"/>
          <w:lang w:eastAsia="zh-CN" w:bidi="ar"/>
        </w:rPr>
        <w:t>。</w:t>
      </w:r>
    </w:p>
    <w:p w14:paraId="330065C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（3）以课题研究为引领，发挥成果辐射作用。</w:t>
      </w:r>
    </w:p>
    <w:p w14:paraId="21BCE287">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研究意义</w:t>
      </w:r>
    </w:p>
    <w:p w14:paraId="51ECACC9">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本课题的研究意义主要有两个方面，一是基于理论价值层面；二是基于现实方面的实际意义。</w:t>
      </w:r>
    </w:p>
    <w:p w14:paraId="2EE043E0">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在基于理论价值层面的研究中，可以发觉当前学术界有关于教学质量提升的专著、课题、论文等成果较多，但是对县域高中教学质量提升进行深入探讨的少之又少。通过本课题在研究中通过采用文献研究法、案例研究法、</w:t>
      </w:r>
      <w:r>
        <w:rPr>
          <w:rFonts w:hint="eastAsia" w:ascii="仿宋" w:hAnsi="仿宋" w:eastAsia="仿宋" w:cs="仿宋"/>
          <w:color w:val="auto"/>
          <w:sz w:val="24"/>
          <w:szCs w:val="24"/>
          <w:lang w:val="en-US" w:eastAsia="zh-CN"/>
        </w:rPr>
        <w:t>调查研究法</w:t>
      </w:r>
      <w:r>
        <w:rPr>
          <w:rFonts w:hint="eastAsia" w:ascii="仿宋" w:hAnsi="仿宋" w:eastAsia="仿宋" w:cs="仿宋"/>
          <w:color w:val="auto"/>
          <w:sz w:val="24"/>
          <w:szCs w:val="24"/>
          <w:lang w:eastAsia="zh-CN"/>
        </w:rPr>
        <w:t>等，对县域高中教学质量提升进行实地研究，在一定程度上可以丰富教学质量提升方面的相关理论；</w:t>
      </w:r>
    </w:p>
    <w:p w14:paraId="232F4E15">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color w:val="auto"/>
          <w:sz w:val="24"/>
          <w:szCs w:val="24"/>
          <w:lang w:eastAsia="zh-CN"/>
        </w:rPr>
        <w:t>在基于现实方面的实践意义中，本课题能够具有针对性的对县域高中教学质量提升开展调研，有助于相关研究人员对教学质量提升中</w:t>
      </w:r>
      <w:r>
        <w:rPr>
          <w:rFonts w:hint="eastAsia" w:ascii="仿宋" w:hAnsi="仿宋" w:eastAsia="仿宋" w:cs="仿宋"/>
          <w:color w:val="auto"/>
          <w:sz w:val="24"/>
          <w:szCs w:val="24"/>
          <w:lang w:val="en-US" w:eastAsia="zh-CN"/>
        </w:rPr>
        <w:t>教学</w:t>
      </w:r>
      <w:r>
        <w:rPr>
          <w:rFonts w:hint="eastAsia" w:ascii="仿宋" w:hAnsi="仿宋" w:eastAsia="仿宋" w:cs="仿宋"/>
          <w:color w:val="auto"/>
          <w:sz w:val="24"/>
          <w:szCs w:val="24"/>
          <w:lang w:eastAsia="zh-CN"/>
        </w:rPr>
        <w:t>活动的发展进行总体把握，进而找出当前县域高中教学质量提升在开展中存在的问题，从而进一步的改善教学质量提升</w:t>
      </w:r>
      <w:r>
        <w:rPr>
          <w:rFonts w:hint="eastAsia" w:ascii="仿宋" w:hAnsi="仿宋" w:eastAsia="仿宋" w:cs="仿宋"/>
          <w:color w:val="auto"/>
          <w:sz w:val="24"/>
          <w:szCs w:val="24"/>
          <w:lang w:val="en-US" w:eastAsia="zh-CN"/>
        </w:rPr>
        <w:t>开展</w:t>
      </w:r>
      <w:r>
        <w:rPr>
          <w:rFonts w:hint="eastAsia" w:ascii="仿宋" w:hAnsi="仿宋" w:eastAsia="仿宋" w:cs="仿宋"/>
          <w:color w:val="auto"/>
          <w:sz w:val="24"/>
          <w:szCs w:val="24"/>
          <w:lang w:eastAsia="zh-CN"/>
        </w:rPr>
        <w:t>的组织形式，对助力学生积极进步成长有着重要的实践性意义</w:t>
      </w:r>
      <w:r>
        <w:rPr>
          <w:rFonts w:hint="eastAsia" w:ascii="仿宋" w:hAnsi="仿宋" w:eastAsia="仿宋" w:cs="仿宋"/>
          <w:color w:val="auto"/>
          <w:sz w:val="24"/>
          <w:szCs w:val="24"/>
        </w:rPr>
        <w:t>。</w:t>
      </w:r>
    </w:p>
    <w:p w14:paraId="3E6BD0F0">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研究假设</w:t>
      </w:r>
    </w:p>
    <w:p w14:paraId="3761F4D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bidi="ar"/>
        </w:rPr>
        <w:t>课题组教师认为，</w:t>
      </w:r>
      <w:r>
        <w:rPr>
          <w:rFonts w:hint="eastAsia" w:ascii="仿宋" w:hAnsi="仿宋" w:eastAsia="仿宋" w:cs="仿宋"/>
          <w:color w:val="auto"/>
          <w:sz w:val="24"/>
          <w:szCs w:val="24"/>
          <w:lang w:bidi="ar"/>
        </w:rPr>
        <w:t>从当前课题研究的基础环节入手</w:t>
      </w:r>
      <w:r>
        <w:rPr>
          <w:rFonts w:hint="eastAsia" w:ascii="仿宋" w:hAnsi="仿宋" w:eastAsia="仿宋" w:cs="仿宋"/>
          <w:color w:val="auto"/>
          <w:sz w:val="24"/>
          <w:szCs w:val="24"/>
          <w:lang w:eastAsia="zh-CN" w:bidi="ar"/>
        </w:rPr>
        <w:t>，可以明确研究思路。</w:t>
      </w:r>
      <w:r>
        <w:rPr>
          <w:rFonts w:hint="eastAsia" w:ascii="仿宋" w:hAnsi="仿宋" w:eastAsia="仿宋" w:cs="仿宋"/>
          <w:color w:val="auto"/>
          <w:sz w:val="24"/>
          <w:szCs w:val="24"/>
          <w:lang w:bidi="ar"/>
        </w:rPr>
        <w:t>从教师的思路、方法、内容等方向入手，</w:t>
      </w:r>
      <w:r>
        <w:rPr>
          <w:rFonts w:hint="eastAsia" w:ascii="仿宋" w:hAnsi="仿宋" w:eastAsia="仿宋" w:cs="仿宋"/>
          <w:color w:val="auto"/>
          <w:sz w:val="24"/>
          <w:szCs w:val="24"/>
          <w:lang w:eastAsia="zh-CN" w:bidi="ar"/>
        </w:rPr>
        <w:t>可以</w:t>
      </w:r>
      <w:r>
        <w:rPr>
          <w:rFonts w:hint="eastAsia" w:ascii="仿宋" w:hAnsi="仿宋" w:eastAsia="仿宋" w:cs="仿宋"/>
          <w:color w:val="auto"/>
          <w:sz w:val="24"/>
          <w:szCs w:val="24"/>
          <w:lang w:bidi="ar"/>
        </w:rPr>
        <w:t>了解当前</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的具体问题；从不同班级学生的具体学情入手，</w:t>
      </w:r>
      <w:r>
        <w:rPr>
          <w:rFonts w:hint="eastAsia" w:ascii="仿宋" w:hAnsi="仿宋" w:eastAsia="仿宋" w:cs="仿宋"/>
          <w:color w:val="auto"/>
          <w:sz w:val="24"/>
          <w:szCs w:val="24"/>
          <w:lang w:eastAsia="zh-CN" w:bidi="ar"/>
        </w:rPr>
        <w:t>能</w:t>
      </w:r>
      <w:r>
        <w:rPr>
          <w:rFonts w:hint="eastAsia" w:ascii="仿宋" w:hAnsi="仿宋" w:eastAsia="仿宋" w:cs="仿宋"/>
          <w:color w:val="auto"/>
          <w:sz w:val="24"/>
          <w:szCs w:val="24"/>
          <w:lang w:bidi="ar"/>
        </w:rPr>
        <w:t>确定</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过程的具体方法</w:t>
      </w:r>
      <w:r>
        <w:rPr>
          <w:rFonts w:hint="eastAsia" w:ascii="仿宋" w:hAnsi="仿宋" w:eastAsia="仿宋" w:cs="仿宋"/>
          <w:color w:val="auto"/>
          <w:sz w:val="24"/>
          <w:szCs w:val="24"/>
          <w:lang w:eastAsia="zh-CN" w:bidi="ar"/>
        </w:rPr>
        <w:t>，提高教师的研究能力。</w:t>
      </w:r>
    </w:p>
    <w:p w14:paraId="4F5668A4">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研究背景和文献综述：理论基础—相关研究成果</w:t>
      </w:r>
    </w:p>
    <w:p w14:paraId="5B43F95E">
      <w:pPr>
        <w:tabs>
          <w:tab w:val="left" w:pos="2107"/>
        </w:tabs>
        <w:adjustRightInd w:val="0"/>
        <w:snapToGrid w:val="0"/>
        <w:spacing w:line="360" w:lineRule="auto"/>
        <w:jc w:val="both"/>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国内相关研究的学术史梳理及研究动态</w:t>
      </w:r>
    </w:p>
    <w:p w14:paraId="69CFF7EB">
      <w:p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从知网，万方数据，维普网当中，利用</w:t>
      </w:r>
      <w:r>
        <w:rPr>
          <w:rFonts w:hint="eastAsia" w:ascii="仿宋" w:hAnsi="仿宋" w:eastAsia="仿宋" w:cs="仿宋"/>
          <w:color w:val="auto"/>
          <w:sz w:val="24"/>
          <w:szCs w:val="24"/>
          <w:lang w:eastAsia="zh-CN"/>
        </w:rPr>
        <w:t>教学质量提升</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县域高中</w:t>
      </w:r>
      <w:r>
        <w:rPr>
          <w:rFonts w:hint="eastAsia" w:ascii="仿宋" w:hAnsi="仿宋" w:eastAsia="仿宋" w:cs="仿宋"/>
          <w:color w:val="auto"/>
          <w:sz w:val="24"/>
          <w:szCs w:val="24"/>
        </w:rPr>
        <w:t>等关键词所查到的数据共</w:t>
      </w:r>
      <w:r>
        <w:rPr>
          <w:rFonts w:hint="eastAsia" w:ascii="仿宋" w:hAnsi="仿宋" w:eastAsia="仿宋" w:cs="仿宋"/>
          <w:color w:val="auto"/>
          <w:sz w:val="24"/>
          <w:szCs w:val="24"/>
          <w:lang w:val="en-US" w:eastAsia="zh-CN"/>
        </w:rPr>
        <w:t>66</w:t>
      </w:r>
      <w:r>
        <w:rPr>
          <w:rFonts w:hint="eastAsia" w:ascii="仿宋" w:hAnsi="仿宋" w:eastAsia="仿宋" w:cs="仿宋"/>
          <w:color w:val="auto"/>
          <w:sz w:val="24"/>
          <w:szCs w:val="24"/>
        </w:rPr>
        <w:t>7条，其中2020年前共</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27条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徐丹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主张建设；</w:t>
      </w:r>
      <w:r>
        <w:rPr>
          <w:rFonts w:hint="eastAsia" w:ascii="仿宋" w:hAnsi="仿宋" w:eastAsia="仿宋" w:cs="仿宋"/>
          <w:color w:val="auto"/>
          <w:sz w:val="24"/>
          <w:szCs w:val="24"/>
          <w:lang w:val="en-US" w:eastAsia="zh-CN"/>
        </w:rPr>
        <w:t>注重创设情境，善于运用多媒体教学设备，力求让学生产生视觉冲击，给学生造成心灵震撼，引导学生进行自主探究、体验感悟，把课堂变成学生自主学习创新、展示自我的平台。</w:t>
      </w:r>
      <w:r>
        <w:rPr>
          <w:rFonts w:hint="eastAsia" w:ascii="仿宋" w:hAnsi="仿宋" w:eastAsia="仿宋" w:cs="仿宋"/>
          <w:color w:val="auto"/>
          <w:sz w:val="24"/>
          <w:szCs w:val="24"/>
        </w:rPr>
        <w:t>孙文华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提出，</w:t>
      </w:r>
      <w:r>
        <w:rPr>
          <w:rFonts w:hint="eastAsia" w:ascii="仿宋" w:hAnsi="仿宋" w:eastAsia="仿宋" w:cs="仿宋"/>
          <w:color w:val="auto"/>
          <w:sz w:val="24"/>
          <w:szCs w:val="24"/>
          <w:lang w:val="en-US" w:eastAsia="zh-CN"/>
        </w:rPr>
        <w:t>通过“双减”的充分践行，教育工作者可以在课堂教学期间引导学生群体实现对于教育教学活动的合理参与，其有利于促进学生群体思维能力的充分拓展，对于高素质人才队伍的培养建设具有良好的促进意义</w:t>
      </w:r>
    </w:p>
    <w:p w14:paraId="00A53029">
      <w:pPr>
        <w:tabs>
          <w:tab w:val="left" w:pos="2107"/>
        </w:tabs>
        <w:adjustRightInd w:val="0"/>
        <w:snapToGrid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国外相关研究的学术史梳理及研究动态</w:t>
      </w:r>
    </w:p>
    <w:p w14:paraId="753A450C">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县域高中教学质量提升</w:t>
      </w:r>
      <w:r>
        <w:rPr>
          <w:rFonts w:hint="eastAsia" w:ascii="仿宋" w:hAnsi="仿宋" w:eastAsia="仿宋" w:cs="仿宋"/>
          <w:color w:val="auto"/>
          <w:sz w:val="24"/>
          <w:szCs w:val="24"/>
          <w:lang w:val="en-US" w:eastAsia="zh-CN"/>
        </w:rPr>
        <w:t>在国外研究中，仍</w:t>
      </w:r>
      <w:r>
        <w:rPr>
          <w:rFonts w:hint="eastAsia" w:ascii="仿宋" w:hAnsi="仿宋" w:eastAsia="仿宋" w:cs="仿宋"/>
          <w:color w:val="auto"/>
          <w:sz w:val="24"/>
          <w:szCs w:val="24"/>
        </w:rPr>
        <w:t>是一个较新的研究问题。Durgaprasadarao P.</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提出，</w:t>
      </w:r>
      <w:r>
        <w:rPr>
          <w:rFonts w:hint="eastAsia" w:ascii="仿宋" w:hAnsi="仿宋" w:eastAsia="仿宋" w:cs="仿宋"/>
          <w:color w:val="auto"/>
          <w:sz w:val="24"/>
          <w:szCs w:val="24"/>
          <w:lang w:val="en-US" w:eastAsia="zh-CN"/>
        </w:rPr>
        <w:t>“双减”政策之下，基础教育学校面临着“减负提效”的硬核挑战，这需要学校管理者从管理理念、课堂体系构建、课后教学质量检测评价等多维度进行调整和创新。</w:t>
      </w:r>
      <w:r>
        <w:rPr>
          <w:rFonts w:hint="eastAsia" w:ascii="仿宋" w:hAnsi="仿宋" w:eastAsia="仿宋" w:cs="仿宋"/>
          <w:color w:val="auto"/>
          <w:sz w:val="24"/>
          <w:szCs w:val="24"/>
          <w:lang w:eastAsia="zh-CN"/>
        </w:rPr>
        <w:t>Runge Isabell（</w:t>
      </w:r>
      <w:r>
        <w:rPr>
          <w:rFonts w:hint="eastAsia" w:ascii="仿宋" w:hAnsi="仿宋" w:eastAsia="仿宋" w:cs="仿宋"/>
          <w:color w:val="auto"/>
          <w:sz w:val="24"/>
          <w:szCs w:val="24"/>
          <w:lang w:val="en-US" w:eastAsia="zh-CN"/>
        </w:rPr>
        <w:t>2023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认为， </w:t>
      </w:r>
      <w:r>
        <w:rPr>
          <w:rFonts w:hint="eastAsia" w:ascii="仿宋" w:hAnsi="仿宋" w:eastAsia="仿宋" w:cs="仿宋"/>
          <w:color w:val="auto"/>
          <w:sz w:val="24"/>
          <w:szCs w:val="24"/>
        </w:rPr>
        <w:t>为双减政策关注的一项重要内容,教育工作者应在课后作业设计问题上下好功夫，有效调整作业设计形式与完成方法，充分发挥其引导作用，帮助学生以作业作为出发点对于语文知识进行相应的课后探索，继而推动学生学科综合素养的合理养成。</w:t>
      </w:r>
    </w:p>
    <w:p w14:paraId="0572403A">
      <w:pPr>
        <w:spacing w:line="36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3.发展趋势</w:t>
      </w:r>
    </w:p>
    <w:p w14:paraId="2A08405F">
      <w:pPr>
        <w:autoSpaceDE w:val="0"/>
        <w:autoSpaceDN w:val="0"/>
        <w:adjustRightInd w:val="0"/>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从国内外研究现状可以看出，国内外学者对于</w:t>
      </w:r>
      <w:r>
        <w:rPr>
          <w:rFonts w:hint="eastAsia" w:ascii="仿宋" w:hAnsi="仿宋" w:eastAsia="仿宋" w:cs="仿宋"/>
          <w:color w:val="auto"/>
          <w:sz w:val="24"/>
          <w:szCs w:val="24"/>
          <w:highlight w:val="none"/>
          <w:lang w:eastAsia="zh-CN"/>
        </w:rPr>
        <w:t>教学质量提升</w:t>
      </w:r>
      <w:r>
        <w:rPr>
          <w:rFonts w:hint="eastAsia" w:ascii="仿宋" w:hAnsi="仿宋" w:eastAsia="仿宋" w:cs="仿宋"/>
          <w:color w:val="auto"/>
          <w:sz w:val="24"/>
          <w:szCs w:val="24"/>
          <w:highlight w:val="none"/>
        </w:rPr>
        <w:t>的研究，既为本文研究</w:t>
      </w:r>
      <w:r>
        <w:rPr>
          <w:rFonts w:hint="eastAsia" w:ascii="仿宋" w:hAnsi="仿宋" w:eastAsia="仿宋" w:cs="仿宋"/>
          <w:color w:val="auto"/>
          <w:sz w:val="24"/>
          <w:szCs w:val="24"/>
          <w:highlight w:val="none"/>
          <w:lang w:eastAsia="zh-CN"/>
        </w:rPr>
        <w:t>县域高中教学质量提升</w:t>
      </w:r>
      <w:r>
        <w:rPr>
          <w:rFonts w:hint="eastAsia" w:ascii="仿宋" w:hAnsi="仿宋" w:eastAsia="仿宋" w:cs="仿宋"/>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仿宋" w:hAnsi="仿宋" w:eastAsia="仿宋" w:cs="仿宋"/>
          <w:color w:val="auto"/>
          <w:sz w:val="24"/>
          <w:szCs w:val="24"/>
          <w:lang w:eastAsia="zh-CN"/>
        </w:rPr>
        <w:t>县域高中教学质量提升</w:t>
      </w:r>
      <w:r>
        <w:rPr>
          <w:rFonts w:hint="eastAsia" w:ascii="仿宋" w:hAnsi="仿宋" w:eastAsia="仿宋" w:cs="仿宋"/>
          <w:color w:val="auto"/>
          <w:sz w:val="24"/>
          <w:szCs w:val="24"/>
          <w:highlight w:val="none"/>
        </w:rPr>
        <w:t>多样性。简而言之，目前国内外关于</w:t>
      </w:r>
      <w:r>
        <w:rPr>
          <w:rFonts w:hint="eastAsia" w:ascii="仿宋" w:hAnsi="仿宋" w:eastAsia="仿宋" w:cs="仿宋"/>
          <w:color w:val="auto"/>
          <w:sz w:val="24"/>
          <w:szCs w:val="24"/>
          <w:highlight w:val="none"/>
          <w:lang w:eastAsia="zh-CN"/>
        </w:rPr>
        <w:t>教学质量提升</w:t>
      </w:r>
      <w:r>
        <w:rPr>
          <w:rFonts w:hint="eastAsia" w:ascii="仿宋" w:hAnsi="仿宋" w:eastAsia="仿宋" w:cs="仿宋"/>
          <w:color w:val="auto"/>
          <w:sz w:val="24"/>
          <w:szCs w:val="24"/>
          <w:highlight w:val="none"/>
        </w:rPr>
        <w:t>的研究还存在以下局限：</w:t>
      </w:r>
    </w:p>
    <w:p w14:paraId="69B2C6EC">
      <w:pPr>
        <w:autoSpaceDE w:val="0"/>
        <w:autoSpaceDN w:val="0"/>
        <w:adjustRightInd w:val="0"/>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一是在内容上缺乏综合分析，</w:t>
      </w:r>
      <w:r>
        <w:rPr>
          <w:rFonts w:hint="eastAsia" w:ascii="仿宋" w:hAnsi="仿宋" w:eastAsia="仿宋" w:cs="仿宋"/>
          <w:color w:val="auto"/>
          <w:sz w:val="24"/>
          <w:szCs w:val="24"/>
          <w:highlight w:val="none"/>
          <w:lang w:eastAsia="zh-CN"/>
        </w:rPr>
        <w:t>教学质量提升</w:t>
      </w:r>
      <w:r>
        <w:rPr>
          <w:rFonts w:hint="eastAsia" w:ascii="仿宋" w:hAnsi="仿宋" w:eastAsia="仿宋" w:cs="仿宋"/>
          <w:color w:val="auto"/>
          <w:sz w:val="24"/>
          <w:szCs w:val="24"/>
          <w:highlight w:val="none"/>
        </w:rPr>
        <w:t>研究多倾向于</w:t>
      </w:r>
      <w:r>
        <w:rPr>
          <w:rFonts w:hint="eastAsia" w:ascii="仿宋" w:hAnsi="仿宋" w:eastAsia="仿宋" w:cs="仿宋"/>
          <w:color w:val="auto"/>
          <w:sz w:val="24"/>
          <w:szCs w:val="24"/>
          <w:highlight w:val="none"/>
          <w:lang w:val="en-US" w:eastAsia="zh-CN"/>
        </w:rPr>
        <w:t>大环境</w:t>
      </w:r>
      <w:r>
        <w:rPr>
          <w:rFonts w:hint="eastAsia" w:ascii="仿宋" w:hAnsi="仿宋" w:eastAsia="仿宋" w:cs="仿宋"/>
          <w:color w:val="auto"/>
          <w:sz w:val="24"/>
          <w:szCs w:val="24"/>
          <w:highlight w:val="none"/>
        </w:rPr>
        <w:t>进行研究，忽视了</w:t>
      </w:r>
      <w:r>
        <w:rPr>
          <w:rFonts w:hint="eastAsia" w:ascii="仿宋" w:hAnsi="仿宋" w:eastAsia="仿宋" w:cs="仿宋"/>
          <w:color w:val="auto"/>
          <w:sz w:val="24"/>
          <w:szCs w:val="24"/>
          <w:highlight w:val="none"/>
          <w:lang w:val="en-US" w:eastAsia="zh-CN"/>
        </w:rPr>
        <w:t>个案</w:t>
      </w:r>
      <w:r>
        <w:rPr>
          <w:rFonts w:hint="eastAsia" w:ascii="仿宋" w:hAnsi="仿宋" w:eastAsia="仿宋" w:cs="仿宋"/>
          <w:color w:val="auto"/>
          <w:sz w:val="24"/>
          <w:szCs w:val="24"/>
          <w:highlight w:val="none"/>
        </w:rPr>
        <w:t>综合分析，部分学者的研究具有一定局限性。</w:t>
      </w:r>
    </w:p>
    <w:p w14:paraId="695EEEE4">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color w:val="auto"/>
          <w:sz w:val="24"/>
          <w:szCs w:val="24"/>
          <w:highlight w:val="none"/>
        </w:rPr>
        <w:t>二是从研究方法来看，现有的研究多定性分析少定量分析，重理论阐述轻实地调研，同时没有取得突破性的进展，有进一步拓展的空间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lang w:val="en-US" w:eastAsia="zh-CN"/>
        </w:rPr>
        <w:t>本课题研究，便以此为基础，更深入的开展了</w:t>
      </w:r>
      <w:r>
        <w:rPr>
          <w:rFonts w:hint="eastAsia" w:ascii="仿宋" w:hAnsi="仿宋" w:eastAsia="仿宋" w:cs="仿宋"/>
          <w:color w:val="auto"/>
          <w:sz w:val="24"/>
          <w:szCs w:val="24"/>
          <w:lang w:eastAsia="zh-CN"/>
        </w:rPr>
        <w:t>“教学质量提升”</w:t>
      </w:r>
      <w:r>
        <w:rPr>
          <w:rFonts w:hint="eastAsia" w:ascii="仿宋" w:hAnsi="仿宋" w:eastAsia="仿宋" w:cs="仿宋"/>
          <w:color w:val="auto"/>
          <w:sz w:val="24"/>
          <w:szCs w:val="24"/>
        </w:rPr>
        <w:t>的内涵、实践特征与当代趋势，以及</w:t>
      </w:r>
      <w:r>
        <w:rPr>
          <w:rFonts w:hint="eastAsia" w:ascii="仿宋" w:hAnsi="仿宋" w:eastAsia="仿宋" w:cs="仿宋"/>
          <w:color w:val="auto"/>
          <w:sz w:val="24"/>
          <w:szCs w:val="24"/>
          <w:lang w:eastAsia="zh-CN"/>
        </w:rPr>
        <w:t>县域高中“教学质量提升”</w:t>
      </w:r>
      <w:r>
        <w:rPr>
          <w:rFonts w:hint="eastAsia" w:ascii="仿宋" w:hAnsi="仿宋" w:eastAsia="仿宋" w:cs="仿宋"/>
          <w:color w:val="auto"/>
          <w:sz w:val="24"/>
          <w:szCs w:val="24"/>
        </w:rPr>
        <w:t>的诱引机制等</w:t>
      </w:r>
      <w:r>
        <w:rPr>
          <w:rFonts w:hint="eastAsia" w:ascii="仿宋" w:hAnsi="仿宋" w:eastAsia="仿宋" w:cs="仿宋"/>
          <w:color w:val="auto"/>
          <w:sz w:val="24"/>
          <w:szCs w:val="24"/>
          <w:lang w:val="en-US" w:eastAsia="zh-CN"/>
        </w:rPr>
        <w:t>的研究工作</w:t>
      </w:r>
      <w:r>
        <w:rPr>
          <w:rFonts w:hint="eastAsia" w:ascii="仿宋" w:hAnsi="仿宋" w:eastAsia="仿宋" w:cs="仿宋"/>
          <w:color w:val="auto"/>
          <w:sz w:val="24"/>
          <w:szCs w:val="24"/>
        </w:rPr>
        <w:t>。</w:t>
      </w:r>
    </w:p>
    <w:p w14:paraId="4B5DAE3E">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研究程序：研究设计—研究对象—研究方法—技术路线</w:t>
      </w:r>
    </w:p>
    <w:p w14:paraId="26738982">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研究设计</w:t>
      </w:r>
    </w:p>
    <w:p w14:paraId="36D006A9">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准备阶段</w:t>
      </w:r>
    </w:p>
    <w:p w14:paraId="4E66DE3B">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1、召开课题组成员研讨会，确立课题研究的宏观主题，分工合作开展相关资料的收集与整理工作，进行文献综述。</w:t>
      </w:r>
    </w:p>
    <w:p w14:paraId="5A6B7864">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2、编制调查问卷、访谈提纲和观察表，结合本校实际情况，依据本课题的研究目的和研究内容进行设计。</w:t>
      </w:r>
    </w:p>
    <w:p w14:paraId="2C920B63">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阶段达成目标：完成已有文献的整理和收集工作，完成对学生的调研工作</w:t>
      </w:r>
    </w:p>
    <w:p w14:paraId="532ECECC">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研究内容：</w:t>
      </w:r>
    </w:p>
    <w:p w14:paraId="3FE3153D">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（1）查阅文献，对已有的文献进行梳理</w:t>
      </w:r>
    </w:p>
    <w:p w14:paraId="31DC1C69">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（2）在已有文献梳理的基础上，将有价值的文献资源进行整合学习</w:t>
      </w:r>
    </w:p>
    <w:p w14:paraId="5A0A29A0">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（3）设计并发放调查问卷，整合调研现状</w:t>
      </w:r>
    </w:p>
    <w:p w14:paraId="1552C382">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（4）召开课题组会议，明确课题组成员的责任并划分任务,明确目标,制定计划</w:t>
      </w:r>
    </w:p>
    <w:p w14:paraId="7257DBD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成果形式：调查报告</w:t>
      </w:r>
    </w:p>
    <w:p w14:paraId="4D1B6A77">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实施阶段</w:t>
      </w:r>
    </w:p>
    <w:p w14:paraId="165330B9">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（1）对学校教师和学生开展问卷调查和访谈，观察学生并做好相关记录，对调查结果进行数据分析，撰写调查报告。 </w:t>
      </w:r>
    </w:p>
    <w:p w14:paraId="6DB72A49">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（2）开展课题组学术研讨，学科教师教育沙龙、专题讲座等，对目前进行的研究进行分析总结，撰写课题相关学术论文。</w:t>
      </w:r>
    </w:p>
    <w:p w14:paraId="0CF2ABF7">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（3）在已有研究基础上进行中期报告的撰写，进一步梳理研究思路，对后续研究进行思考。</w:t>
      </w:r>
    </w:p>
    <w:p w14:paraId="439B5EFB">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阶段研究内容：</w:t>
      </w:r>
    </w:p>
    <w:p w14:paraId="4066619B">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(1)按照课题方案，落实课题研究措施</w:t>
      </w:r>
    </w:p>
    <w:p w14:paraId="7A66D2F8">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(2)对过程性材料进行收集整合</w:t>
      </w:r>
    </w:p>
    <w:p w14:paraId="1C944096">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(3)对学生实施阶段性调查并开展成效分析</w:t>
      </w:r>
    </w:p>
    <w:p w14:paraId="68BBDFEF">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(4)结合成效分析对课题方案进行整改优化</w:t>
      </w:r>
    </w:p>
    <w:p w14:paraId="16AAE0C6">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阶段成果形式：优化后的课题方案</w:t>
      </w:r>
    </w:p>
    <w:p w14:paraId="4963FE87">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完成阶段</w:t>
      </w:r>
    </w:p>
    <w:p w14:paraId="12CD9E70">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在此阶段已经完成了所有的调查和数据分析，对已有研究进行整体梳理，撰写结题报告。</w:t>
      </w:r>
    </w:p>
    <w:p w14:paraId="0B303173">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总结阶段</w:t>
      </w:r>
    </w:p>
    <w:p w14:paraId="25D94BC0">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阶段性达成目标：形成课题成果和课题论文</w:t>
      </w:r>
    </w:p>
    <w:p w14:paraId="7E5FC18A">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阶段性研究内容：</w:t>
      </w:r>
    </w:p>
    <w:p w14:paraId="2A8EFE92">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(1)汇总过程性材料，梳理可行措施</w:t>
      </w:r>
    </w:p>
    <w:p w14:paraId="5F06F6AC">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color w:val="auto"/>
          <w:sz w:val="24"/>
          <w:szCs w:val="24"/>
          <w:highlight w:val="none"/>
        </w:rPr>
        <w:t>(2)形成课题报告，撰写课题论文</w:t>
      </w:r>
    </w:p>
    <w:p w14:paraId="0E37D831">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研究对象</w:t>
      </w:r>
    </w:p>
    <w:p w14:paraId="36EFD8FB">
      <w:pPr>
        <w:adjustRightInd w:val="0"/>
        <w:snapToGrid w:val="0"/>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课题采用实践调查法，针对双减背景下县域高中教学质量提升开展调研</w:t>
      </w:r>
    </w:p>
    <w:p w14:paraId="5B0A2F76">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研究方法</w:t>
      </w:r>
    </w:p>
    <w:p w14:paraId="37E23684">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1、</w:t>
      </w:r>
      <w:r>
        <w:rPr>
          <w:rFonts w:hint="eastAsia" w:ascii="仿宋" w:hAnsi="仿宋" w:eastAsia="仿宋" w:cs="仿宋"/>
          <w:color w:val="auto"/>
          <w:sz w:val="24"/>
          <w:szCs w:val="24"/>
          <w:lang w:bidi="ar"/>
        </w:rPr>
        <w:t>文献研究法：借助学校互联网教学工具，搜集整理与新课程标准、</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等相关的研究文献；同时通过学校课题研究系统查找与本课题研究相关的研究资料，并进行相关的研究成果整理，确保后续课题研究能够有充足的理论依据。</w:t>
      </w:r>
    </w:p>
    <w:p w14:paraId="5FF4F4E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调查</w:t>
      </w:r>
      <w:r>
        <w:rPr>
          <w:rFonts w:hint="eastAsia" w:ascii="仿宋" w:hAnsi="仿宋" w:eastAsia="仿宋" w:cs="仿宋"/>
          <w:color w:val="auto"/>
          <w:sz w:val="24"/>
          <w:szCs w:val="24"/>
          <w:lang w:eastAsia="zh-CN" w:bidi="ar"/>
        </w:rPr>
        <w:t>研究</w:t>
      </w:r>
      <w:r>
        <w:rPr>
          <w:rFonts w:hint="eastAsia" w:ascii="仿宋" w:hAnsi="仿宋" w:eastAsia="仿宋" w:cs="仿宋"/>
          <w:color w:val="auto"/>
          <w:sz w:val="24"/>
          <w:szCs w:val="24"/>
          <w:lang w:bidi="ar"/>
        </w:rPr>
        <w:t>法：通过问卷调查，探讨教师对于</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的认知，以及</w:t>
      </w:r>
      <w:r>
        <w:rPr>
          <w:rFonts w:hint="eastAsia" w:ascii="仿宋" w:hAnsi="仿宋" w:eastAsia="仿宋" w:cs="仿宋"/>
          <w:color w:val="auto"/>
          <w:sz w:val="24"/>
          <w:szCs w:val="24"/>
          <w:lang w:eastAsia="zh-CN" w:bidi="ar"/>
        </w:rPr>
        <w:t>县域高中教学质量提升中</w:t>
      </w:r>
      <w:r>
        <w:rPr>
          <w:rFonts w:hint="eastAsia" w:ascii="仿宋" w:hAnsi="仿宋" w:eastAsia="仿宋" w:cs="仿宋"/>
          <w:color w:val="auto"/>
          <w:sz w:val="24"/>
          <w:szCs w:val="24"/>
          <w:lang w:bidi="ar"/>
        </w:rPr>
        <w:t>存在的具体问题；其次，在具体访谈过程中，课题组教师深入到具体的教学活动中，调查分析</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中存在的问题，从而为课题研究提供更加详细的数据支撑。</w:t>
      </w:r>
    </w:p>
    <w:p w14:paraId="1378D326">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3、</w:t>
      </w:r>
      <w:r>
        <w:rPr>
          <w:rFonts w:hint="eastAsia" w:ascii="仿宋" w:hAnsi="仿宋" w:eastAsia="仿宋" w:cs="仿宋"/>
          <w:color w:val="auto"/>
          <w:sz w:val="24"/>
          <w:szCs w:val="24"/>
          <w:lang w:eastAsia="zh-CN" w:bidi="ar"/>
        </w:rPr>
        <w:t>案例</w:t>
      </w:r>
      <w:r>
        <w:rPr>
          <w:rFonts w:hint="eastAsia" w:ascii="仿宋" w:hAnsi="仿宋" w:eastAsia="仿宋" w:cs="仿宋"/>
          <w:color w:val="auto"/>
          <w:sz w:val="24"/>
          <w:szCs w:val="24"/>
          <w:lang w:bidi="ar"/>
        </w:rPr>
        <w:t>研究法：将课题研究的阶段性成果，应用于课题组教师所在班级中；通过</w:t>
      </w:r>
      <w:r>
        <w:rPr>
          <w:rFonts w:hint="eastAsia" w:ascii="仿宋" w:hAnsi="仿宋" w:eastAsia="仿宋" w:cs="仿宋"/>
          <w:color w:val="auto"/>
          <w:sz w:val="24"/>
          <w:szCs w:val="24"/>
          <w:lang w:eastAsia="zh-CN" w:bidi="ar"/>
        </w:rPr>
        <w:t>具体的案例</w:t>
      </w:r>
      <w:r>
        <w:rPr>
          <w:rFonts w:hint="eastAsia" w:ascii="仿宋" w:hAnsi="仿宋" w:eastAsia="仿宋" w:cs="仿宋"/>
          <w:color w:val="auto"/>
          <w:sz w:val="24"/>
          <w:szCs w:val="24"/>
          <w:lang w:bidi="ar"/>
        </w:rPr>
        <w:t>，分析</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措施的具体成果，同时也从案例中发现问题，结合问题对课题后续研究的具体方案进行综合整理与分析，确保课题研究能够更加符合当前</w:t>
      </w:r>
      <w:r>
        <w:rPr>
          <w:rFonts w:hint="eastAsia" w:ascii="仿宋" w:hAnsi="仿宋" w:eastAsia="仿宋" w:cs="仿宋"/>
          <w:color w:val="auto"/>
          <w:sz w:val="24"/>
          <w:szCs w:val="24"/>
          <w:lang w:eastAsia="zh-CN" w:bidi="ar"/>
        </w:rPr>
        <w:t>县域高中教学质量提升</w:t>
      </w:r>
      <w:r>
        <w:rPr>
          <w:rFonts w:hint="eastAsia" w:ascii="仿宋" w:hAnsi="仿宋" w:eastAsia="仿宋" w:cs="仿宋"/>
          <w:color w:val="auto"/>
          <w:sz w:val="24"/>
          <w:szCs w:val="24"/>
          <w:lang w:bidi="ar"/>
        </w:rPr>
        <w:t>现状，从而达到提高学科教学效果的功效。</w:t>
      </w:r>
    </w:p>
    <w:p w14:paraId="5B3CB4C4">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bidi="ar"/>
        </w:rPr>
        <w:t>4、</w:t>
      </w:r>
      <w:r>
        <w:rPr>
          <w:rFonts w:hint="eastAsia" w:ascii="仿宋" w:hAnsi="仿宋" w:eastAsia="仿宋" w:cs="仿宋"/>
          <w:color w:val="auto"/>
          <w:sz w:val="24"/>
          <w:szCs w:val="24"/>
          <w:lang w:eastAsia="zh-CN" w:bidi="ar"/>
        </w:rPr>
        <w:t>总结</w:t>
      </w:r>
      <w:r>
        <w:rPr>
          <w:rFonts w:hint="eastAsia" w:ascii="仿宋" w:hAnsi="仿宋" w:eastAsia="仿宋" w:cs="仿宋"/>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6DFBD9D8">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技术路线</w:t>
      </w:r>
    </w:p>
    <w:p w14:paraId="17DBF5B0">
      <w:pPr>
        <w:spacing w:line="360" w:lineRule="auto"/>
        <w:jc w:val="both"/>
        <w:rPr>
          <w:rFonts w:hint="eastAsia" w:ascii="仿宋" w:hAnsi="仿宋" w:eastAsia="仿宋" w:cs="仿宋"/>
          <w:b/>
          <w:bCs/>
          <w:color w:val="auto"/>
          <w:sz w:val="24"/>
          <w:szCs w:val="24"/>
        </w:rPr>
      </w:pPr>
    </w:p>
    <w:p w14:paraId="17FF00EF">
      <w:pPr>
        <w:pStyle w:val="6"/>
        <w:spacing w:line="360" w:lineRule="auto"/>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-42545</wp:posOffset>
                </wp:positionH>
                <wp:positionV relativeFrom="paragraph">
                  <wp:posOffset>89535</wp:posOffset>
                </wp:positionV>
                <wp:extent cx="4683760" cy="2673350"/>
                <wp:effectExtent l="12700" t="12700" r="27940" b="26670"/>
                <wp:wrapNone/>
                <wp:docPr id="69" name="组合 69"/>
                <wp:cNvGraphicFramePr/>
                <a:graphic xmlns:a="http://schemas.openxmlformats.org/drawingml/2006/main">
                  <a:graphicData uri="http://schemas.microsoft.com/office/word/2010/wordprocessingGroup">
                    <wpg:wgp>
                      <wpg:cNvGrpSpPr/>
                      <wpg:grpSpPr>
                        <a:xfrm>
                          <a:off x="1203325" y="6348730"/>
                          <a:ext cx="4683760" cy="2673350"/>
                          <a:chOff x="4080" y="8705"/>
                          <a:chExt cx="7376" cy="4210"/>
                        </a:xfrm>
                        <a:effectLst/>
                      </wpg:grpSpPr>
                      <wps:wsp>
                        <wps:cNvPr id="3" name="矩形 3"/>
                        <wps:cNvSpPr/>
                        <wps:spPr>
                          <a:xfrm>
                            <a:off x="4080" y="8711"/>
                            <a:ext cx="1483" cy="469"/>
                          </a:xfrm>
                          <a:prstGeom prst="rect">
                            <a:avLst/>
                          </a:prstGeom>
                          <a:solidFill>
                            <a:srgbClr val="FFFFFF"/>
                          </a:solidFill>
                          <a:ln w="25400" cap="flat" cmpd="sng" algn="ctr">
                            <a:solidFill>
                              <a:srgbClr val="000000"/>
                            </a:solidFill>
                            <a:prstDash val="solid"/>
                          </a:ln>
                          <a:effectLst/>
                        </wps:spPr>
                        <wps:txbx>
                          <w:txbxContent>
                            <w:p w14:paraId="35FC6F1B">
                              <w:pPr>
                                <w:jc w:val="center"/>
                                <w:rPr>
                                  <w:rFonts w:hint="default" w:eastAsia="宋体"/>
                                  <w:sz w:val="18"/>
                                  <w:szCs w:val="18"/>
                                  <w:lang w:val="en-US" w:eastAsia="zh-CN"/>
                                </w:rPr>
                              </w:pPr>
                              <w:r>
                                <w:rPr>
                                  <w:rFonts w:hint="eastAsia"/>
                                  <w:sz w:val="18"/>
                                  <w:szCs w:val="18"/>
                                  <w:lang w:val="en-US" w:eastAsia="zh-CN"/>
                                </w:rPr>
                                <w:t>确定研究问题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6448" y="8705"/>
                            <a:ext cx="1483" cy="469"/>
                          </a:xfrm>
                          <a:prstGeom prst="rect">
                            <a:avLst/>
                          </a:prstGeom>
                          <a:solidFill>
                            <a:srgbClr val="FFFFFF"/>
                          </a:solidFill>
                          <a:ln w="25400" cap="flat" cmpd="sng" algn="ctr">
                            <a:solidFill>
                              <a:srgbClr val="000000"/>
                            </a:solidFill>
                            <a:prstDash val="solid"/>
                          </a:ln>
                          <a:effectLst/>
                        </wps:spPr>
                        <wps:txbx>
                          <w:txbxContent>
                            <w:p w14:paraId="6DE1A619">
                              <w:pPr>
                                <w:jc w:val="center"/>
                                <w:rPr>
                                  <w:rFonts w:hint="default" w:eastAsia="宋体"/>
                                  <w:sz w:val="18"/>
                                  <w:szCs w:val="18"/>
                                  <w:lang w:val="en-US" w:eastAsia="zh-CN"/>
                                </w:rPr>
                              </w:pPr>
                              <w:r>
                                <w:rPr>
                                  <w:rFonts w:hint="eastAsia"/>
                                  <w:sz w:val="18"/>
                                  <w:szCs w:val="18"/>
                                  <w:lang w:val="en-US" w:eastAsia="zh-CN"/>
                                </w:rPr>
                                <w:t xml:space="preserve">文献研究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8739" y="8709"/>
                            <a:ext cx="2443" cy="469"/>
                          </a:xfrm>
                          <a:prstGeom prst="rect">
                            <a:avLst/>
                          </a:prstGeom>
                          <a:solidFill>
                            <a:srgbClr val="FFFFFF"/>
                          </a:solidFill>
                          <a:ln w="25400" cap="flat" cmpd="sng" algn="ctr">
                            <a:solidFill>
                              <a:srgbClr val="000000"/>
                            </a:solidFill>
                            <a:prstDash val="solid"/>
                          </a:ln>
                          <a:effectLst/>
                        </wps:spPr>
                        <wps:txbx>
                          <w:txbxContent>
                            <w:p w14:paraId="1E041C3B">
                              <w:pPr>
                                <w:jc w:val="center"/>
                                <w:rPr>
                                  <w:rFonts w:hint="default" w:eastAsia="宋体"/>
                                  <w:sz w:val="18"/>
                                  <w:szCs w:val="18"/>
                                  <w:lang w:val="en-US" w:eastAsia="zh-CN"/>
                                </w:rPr>
                              </w:pPr>
                              <w:r>
                                <w:rPr>
                                  <w:rFonts w:hint="eastAsia"/>
                                  <w:sz w:val="18"/>
                                  <w:szCs w:val="18"/>
                                  <w:lang w:val="en-US" w:eastAsia="zh-CN"/>
                                </w:rPr>
                                <w:t>教学质量提升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6459" y="9648"/>
                            <a:ext cx="1483" cy="469"/>
                          </a:xfrm>
                          <a:prstGeom prst="rect">
                            <a:avLst/>
                          </a:prstGeom>
                          <a:solidFill>
                            <a:srgbClr val="FFFFFF"/>
                          </a:solidFill>
                          <a:ln w="25400" cap="flat" cmpd="sng" algn="ctr">
                            <a:solidFill>
                              <a:srgbClr val="000000"/>
                            </a:solidFill>
                            <a:prstDash val="solid"/>
                          </a:ln>
                          <a:effectLst/>
                        </wps:spPr>
                        <wps:txbx>
                          <w:txbxContent>
                            <w:p w14:paraId="47DD2C22">
                              <w:pPr>
                                <w:jc w:val="center"/>
                                <w:rPr>
                                  <w:rFonts w:hint="default" w:eastAsia="宋体"/>
                                  <w:sz w:val="18"/>
                                  <w:szCs w:val="18"/>
                                  <w:lang w:val="en-US" w:eastAsia="zh-CN"/>
                                </w:rPr>
                              </w:pPr>
                              <w:r>
                                <w:rPr>
                                  <w:rFonts w:hint="eastAsia"/>
                                  <w:sz w:val="18"/>
                                  <w:szCs w:val="18"/>
                                  <w:lang w:val="en-US" w:eastAsia="zh-CN"/>
                                </w:rPr>
                                <w:t>研究设计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4124" y="10590"/>
                            <a:ext cx="2031" cy="469"/>
                          </a:xfrm>
                          <a:prstGeom prst="rect">
                            <a:avLst/>
                          </a:prstGeom>
                          <a:solidFill>
                            <a:srgbClr val="FFFFFF"/>
                          </a:solidFill>
                          <a:ln w="25400" cap="flat" cmpd="sng" algn="ctr">
                            <a:solidFill>
                              <a:srgbClr val="000000"/>
                            </a:solidFill>
                            <a:prstDash val="solid"/>
                          </a:ln>
                          <a:effectLst/>
                        </wps:spPr>
                        <wps:txbx>
                          <w:txbxContent>
                            <w:p w14:paraId="488DCA77">
                              <w:pPr>
                                <w:jc w:val="center"/>
                                <w:rPr>
                                  <w:rFonts w:hint="default" w:eastAsia="宋体"/>
                                  <w:sz w:val="18"/>
                                  <w:szCs w:val="18"/>
                                  <w:lang w:val="en-US" w:eastAsia="zh-CN"/>
                                </w:rPr>
                              </w:pPr>
                              <w:r>
                                <w:rPr>
                                  <w:rFonts w:hint="eastAsia"/>
                                  <w:sz w:val="18"/>
                                  <w:szCs w:val="18"/>
                                  <w:lang w:val="en-US" w:eastAsia="zh-CN"/>
                                </w:rPr>
                                <w:t>县域高中资料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6699" y="10584"/>
                            <a:ext cx="2031" cy="469"/>
                          </a:xfrm>
                          <a:prstGeom prst="rect">
                            <a:avLst/>
                          </a:prstGeom>
                          <a:solidFill>
                            <a:srgbClr val="FFFFFF"/>
                          </a:solidFill>
                          <a:ln w="25400" cap="flat" cmpd="sng" algn="ctr">
                            <a:solidFill>
                              <a:srgbClr val="000000"/>
                            </a:solidFill>
                            <a:prstDash val="solid"/>
                          </a:ln>
                          <a:effectLst/>
                        </wps:spPr>
                        <wps:txbx>
                          <w:txbxContent>
                            <w:p w14:paraId="25E6C648">
                              <w:pPr>
                                <w:jc w:val="center"/>
                                <w:rPr>
                                  <w:rFonts w:hint="default" w:eastAsia="宋体"/>
                                  <w:sz w:val="18"/>
                                  <w:szCs w:val="18"/>
                                  <w:lang w:val="en-US" w:eastAsia="zh-CN"/>
                                </w:rPr>
                              </w:pPr>
                              <w:r>
                                <w:rPr>
                                  <w:rFonts w:hint="eastAsia"/>
                                  <w:sz w:val="18"/>
                                  <w:szCs w:val="18"/>
                                  <w:lang w:val="en-US" w:eastAsia="zh-CN"/>
                                </w:rPr>
                                <w:t>编制教师和学生问卷</w:t>
                              </w:r>
                            </w:p>
                            <w:p w14:paraId="18C5A079">
                              <w:pPr>
                                <w:jc w:val="center"/>
                                <w:rPr>
                                  <w:rFonts w:hint="default" w:eastAsia="宋体"/>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9426" y="10578"/>
                            <a:ext cx="2031" cy="469"/>
                          </a:xfrm>
                          <a:prstGeom prst="rect">
                            <a:avLst/>
                          </a:prstGeom>
                          <a:solidFill>
                            <a:srgbClr val="FFFFFF"/>
                          </a:solidFill>
                          <a:ln w="25400" cap="flat" cmpd="sng" algn="ctr">
                            <a:solidFill>
                              <a:srgbClr val="000000"/>
                            </a:solidFill>
                            <a:prstDash val="solid"/>
                          </a:ln>
                          <a:effectLst/>
                        </wps:spPr>
                        <wps:txbx>
                          <w:txbxContent>
                            <w:p w14:paraId="5F90BECD">
                              <w:pPr>
                                <w:jc w:val="center"/>
                                <w:rPr>
                                  <w:rFonts w:hint="default" w:eastAsia="宋体"/>
                                  <w:sz w:val="18"/>
                                  <w:szCs w:val="18"/>
                                  <w:lang w:val="en-US" w:eastAsia="zh-CN"/>
                                </w:rPr>
                              </w:pPr>
                              <w:r>
                                <w:rPr>
                                  <w:rFonts w:hint="eastAsia"/>
                                  <w:sz w:val="18"/>
                                  <w:szCs w:val="18"/>
                                  <w:lang w:val="en-US" w:eastAsia="zh-CN"/>
                                </w:rPr>
                                <w:t>设计教师访谈提纲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6732" y="11514"/>
                            <a:ext cx="2031" cy="469"/>
                          </a:xfrm>
                          <a:prstGeom prst="rect">
                            <a:avLst/>
                          </a:prstGeom>
                          <a:solidFill>
                            <a:srgbClr val="FFFFFF"/>
                          </a:solidFill>
                          <a:ln w="25400" cap="flat" cmpd="sng" algn="ctr">
                            <a:solidFill>
                              <a:srgbClr val="000000"/>
                            </a:solidFill>
                            <a:prstDash val="solid"/>
                          </a:ln>
                          <a:effectLst/>
                        </wps:spPr>
                        <wps:txbx>
                          <w:txbxContent>
                            <w:p w14:paraId="197A78B9">
                              <w:pPr>
                                <w:jc w:val="center"/>
                                <w:rPr>
                                  <w:rFonts w:hint="default" w:eastAsia="宋体"/>
                                  <w:sz w:val="18"/>
                                  <w:szCs w:val="18"/>
                                  <w:lang w:val="en-US" w:eastAsia="zh-CN"/>
                                </w:rPr>
                              </w:pPr>
                              <w:r>
                                <w:rPr>
                                  <w:rFonts w:hint="eastAsia"/>
                                  <w:sz w:val="18"/>
                                  <w:szCs w:val="18"/>
                                  <w:lang w:val="en-US" w:eastAsia="zh-CN"/>
                                </w:rPr>
                                <w:t>数据的收集和整理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5565" y="12447"/>
                            <a:ext cx="1483" cy="469"/>
                          </a:xfrm>
                          <a:prstGeom prst="rect">
                            <a:avLst/>
                          </a:prstGeom>
                          <a:solidFill>
                            <a:srgbClr val="FFFFFF"/>
                          </a:solidFill>
                          <a:ln w="25400" cap="flat" cmpd="sng" algn="ctr">
                            <a:solidFill>
                              <a:srgbClr val="000000"/>
                            </a:solidFill>
                            <a:prstDash val="solid"/>
                          </a:ln>
                          <a:effectLst/>
                        </wps:spPr>
                        <wps:txbx>
                          <w:txbxContent>
                            <w:p w14:paraId="28C4CC81">
                              <w:pPr>
                                <w:jc w:val="center"/>
                                <w:rPr>
                                  <w:rFonts w:hint="default" w:eastAsia="宋体"/>
                                  <w:sz w:val="18"/>
                                  <w:szCs w:val="18"/>
                                  <w:lang w:val="en-US" w:eastAsia="zh-CN"/>
                                </w:rPr>
                              </w:pPr>
                              <w:r>
                                <w:rPr>
                                  <w:rFonts w:hint="eastAsia"/>
                                  <w:sz w:val="18"/>
                                  <w:szCs w:val="18"/>
                                  <w:lang w:val="en-US" w:eastAsia="zh-CN"/>
                                </w:rPr>
                                <w:t>分析与讨论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7957" y="12442"/>
                            <a:ext cx="1483" cy="469"/>
                          </a:xfrm>
                          <a:prstGeom prst="rect">
                            <a:avLst/>
                          </a:prstGeom>
                          <a:solidFill>
                            <a:srgbClr val="FFFFFF"/>
                          </a:solidFill>
                          <a:ln w="25400" cap="flat" cmpd="sng" algn="ctr">
                            <a:solidFill>
                              <a:srgbClr val="000000"/>
                            </a:solidFill>
                            <a:prstDash val="solid"/>
                          </a:ln>
                          <a:effectLst/>
                        </wps:spPr>
                        <wps:txbx>
                          <w:txbxContent>
                            <w:p w14:paraId="2E1E574F">
                              <w:pPr>
                                <w:jc w:val="center"/>
                                <w:rPr>
                                  <w:rFonts w:hint="default" w:eastAsia="宋体"/>
                                  <w:sz w:val="18"/>
                                  <w:szCs w:val="18"/>
                                  <w:lang w:val="en-US" w:eastAsia="zh-CN"/>
                                </w:rPr>
                              </w:pPr>
                              <w:r>
                                <w:rPr>
                                  <w:rFonts w:hint="eastAsia"/>
                                  <w:sz w:val="18"/>
                                  <w:szCs w:val="18"/>
                                  <w:lang w:val="en-US" w:eastAsia="zh-CN"/>
                                </w:rPr>
                                <w:t>结论与建议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a:stCxn id="3" idx="3"/>
                          <a:endCxn id="5" idx="1"/>
                        </wps:cNvCnPr>
                        <wps:spPr>
                          <a:xfrm flipV="1">
                            <a:off x="5563" y="8940"/>
                            <a:ext cx="885" cy="6"/>
                          </a:xfrm>
                          <a:prstGeom prst="straightConnector1">
                            <a:avLst/>
                          </a:prstGeom>
                          <a:noFill/>
                          <a:ln w="9525" cap="flat" cmpd="sng" algn="ctr">
                            <a:solidFill>
                              <a:srgbClr val="000000"/>
                            </a:solidFill>
                            <a:prstDash val="solid"/>
                            <a:tailEnd type="arrow"/>
                          </a:ln>
                          <a:effectLst/>
                        </wps:spPr>
                        <wps:bodyPr/>
                      </wps:wsp>
                      <wps:wsp>
                        <wps:cNvPr id="50" name="直接箭头连接符 50"/>
                        <wps:cNvCnPr>
                          <a:stCxn id="5" idx="3"/>
                          <a:endCxn id="12" idx="1"/>
                        </wps:cNvCnPr>
                        <wps:spPr>
                          <a:xfrm>
                            <a:off x="7931" y="8940"/>
                            <a:ext cx="808" cy="4"/>
                          </a:xfrm>
                          <a:prstGeom prst="straightConnector1">
                            <a:avLst/>
                          </a:prstGeom>
                          <a:noFill/>
                          <a:ln w="9525" cap="flat" cmpd="sng" algn="ctr">
                            <a:solidFill>
                              <a:srgbClr val="000000"/>
                            </a:solidFill>
                            <a:prstDash val="solid"/>
                            <a:tailEnd type="arrow"/>
                          </a:ln>
                          <a:effectLst/>
                        </wps:spPr>
                        <wps:bodyPr/>
                      </wps:wsp>
                      <wps:wsp>
                        <wps:cNvPr id="51" name="肘形连接符 51"/>
                        <wps:cNvCnPr>
                          <a:stCxn id="12" idx="2"/>
                          <a:endCxn id="18" idx="0"/>
                        </wps:cNvCnPr>
                        <wps:spPr>
                          <a:xfrm rot="5400000">
                            <a:off x="8346" y="8033"/>
                            <a:ext cx="470" cy="2760"/>
                          </a:xfrm>
                          <a:prstGeom prst="bentConnector3">
                            <a:avLst>
                              <a:gd name="adj1" fmla="val 50000"/>
                            </a:avLst>
                          </a:prstGeom>
                          <a:noFill/>
                          <a:ln w="9525" cap="flat" cmpd="sng" algn="ctr">
                            <a:solidFill>
                              <a:srgbClr val="F9F9F9">
                                <a:shade val="95000"/>
                                <a:satMod val="105000"/>
                              </a:srgbClr>
                            </a:solidFill>
                            <a:prstDash val="solid"/>
                            <a:tailEnd type="arrow" w="med" len="med"/>
                          </a:ln>
                          <a:effectLst/>
                        </wps:spPr>
                        <wps:bodyPr/>
                      </wps:wsp>
                      <wps:wsp>
                        <wps:cNvPr id="52" name="肘形连接符 52"/>
                        <wps:cNvCnPr>
                          <a:stCxn id="18" idx="2"/>
                          <a:endCxn id="40" idx="0"/>
                        </wps:cNvCnPr>
                        <wps:spPr>
                          <a:xfrm rot="5400000">
                            <a:off x="5934" y="9322"/>
                            <a:ext cx="473" cy="2061"/>
                          </a:xfrm>
                          <a:prstGeom prst="bentConnector3">
                            <a:avLst>
                              <a:gd name="adj1" fmla="val 50106"/>
                            </a:avLst>
                          </a:prstGeom>
                          <a:noFill/>
                          <a:ln w="9525" cap="flat" cmpd="sng" algn="ctr">
                            <a:solidFill>
                              <a:srgbClr val="000000"/>
                            </a:solidFill>
                            <a:prstDash val="solid"/>
                            <a:tailEnd type="arrow"/>
                          </a:ln>
                          <a:effectLst/>
                        </wps:spPr>
                        <wps:bodyPr/>
                      </wps:wsp>
                      <wps:wsp>
                        <wps:cNvPr id="53" name="直接箭头连接符 53"/>
                        <wps:cNvCnPr>
                          <a:stCxn id="40" idx="3"/>
                          <a:endCxn id="42" idx="1"/>
                        </wps:cNvCnPr>
                        <wps:spPr>
                          <a:xfrm flipV="1">
                            <a:off x="6155" y="10819"/>
                            <a:ext cx="544" cy="6"/>
                          </a:xfrm>
                          <a:prstGeom prst="straightConnector1">
                            <a:avLst/>
                          </a:prstGeom>
                          <a:noFill/>
                          <a:ln w="9525" cap="flat" cmpd="sng" algn="ctr">
                            <a:solidFill>
                              <a:srgbClr val="000000"/>
                            </a:solidFill>
                            <a:prstDash val="solid"/>
                            <a:tailEnd type="arrow"/>
                          </a:ln>
                          <a:effectLst/>
                        </wps:spPr>
                        <wps:bodyPr/>
                      </wps:wsp>
                      <wps:wsp>
                        <wps:cNvPr id="54" name="直接箭头连接符 54"/>
                        <wps:cNvCnPr>
                          <a:stCxn id="42" idx="3"/>
                          <a:endCxn id="43" idx="1"/>
                        </wps:cNvCnPr>
                        <wps:spPr>
                          <a:xfrm flipV="1">
                            <a:off x="8730" y="10813"/>
                            <a:ext cx="696" cy="6"/>
                          </a:xfrm>
                          <a:prstGeom prst="straightConnector1">
                            <a:avLst/>
                          </a:prstGeom>
                          <a:noFill/>
                          <a:ln w="9525" cap="flat" cmpd="sng" algn="ctr">
                            <a:solidFill>
                              <a:srgbClr val="000000"/>
                            </a:solidFill>
                            <a:prstDash val="solid"/>
                            <a:tailEnd type="arrow"/>
                          </a:ln>
                          <a:effectLst/>
                        </wps:spPr>
                        <wps:bodyPr/>
                      </wps:wsp>
                      <wps:wsp>
                        <wps:cNvPr id="55" name="肘形连接符 55"/>
                        <wps:cNvCnPr>
                          <a:stCxn id="43" idx="2"/>
                          <a:endCxn id="46" idx="0"/>
                        </wps:cNvCnPr>
                        <wps:spPr>
                          <a:xfrm rot="5400000">
                            <a:off x="8862" y="9933"/>
                            <a:ext cx="467" cy="2694"/>
                          </a:xfrm>
                          <a:prstGeom prst="bentConnector3">
                            <a:avLst>
                              <a:gd name="adj1" fmla="val 50000"/>
                            </a:avLst>
                          </a:prstGeom>
                          <a:noFill/>
                          <a:ln w="9525" cap="flat" cmpd="sng" algn="ctr">
                            <a:solidFill>
                              <a:srgbClr val="000000"/>
                            </a:solidFill>
                            <a:prstDash val="solid"/>
                            <a:tailEnd type="arrow"/>
                          </a:ln>
                          <a:effectLst/>
                        </wps:spPr>
                        <wps:bodyPr/>
                      </wps:wsp>
                      <wps:wsp>
                        <wps:cNvPr id="56" name="肘形连接符 56"/>
                        <wps:cNvCnPr>
                          <a:stCxn id="46" idx="2"/>
                          <a:endCxn id="47" idx="0"/>
                        </wps:cNvCnPr>
                        <wps:spPr>
                          <a:xfrm rot="5400000">
                            <a:off x="6795" y="11494"/>
                            <a:ext cx="464" cy="1441"/>
                          </a:xfrm>
                          <a:prstGeom prst="bentConnector3">
                            <a:avLst>
                              <a:gd name="adj1" fmla="val 49892"/>
                            </a:avLst>
                          </a:prstGeom>
                          <a:noFill/>
                          <a:ln w="9525" cap="flat" cmpd="sng" algn="ctr">
                            <a:solidFill>
                              <a:srgbClr val="F9F9F9">
                                <a:shade val="95000"/>
                                <a:satMod val="105000"/>
                              </a:srgbClr>
                            </a:solidFill>
                            <a:prstDash val="solid"/>
                            <a:tailEnd type="arrow" w="med" len="med"/>
                          </a:ln>
                          <a:effectLst/>
                        </wps:spPr>
                        <wps:bodyPr/>
                      </wps:wsp>
                      <wps:wsp>
                        <wps:cNvPr id="57" name="直接箭头连接符 57"/>
                        <wps:cNvCnPr>
                          <a:stCxn id="47" idx="3"/>
                          <a:endCxn id="48" idx="1"/>
                        </wps:cNvCnPr>
                        <wps:spPr>
                          <a:xfrm flipV="1">
                            <a:off x="7048" y="12677"/>
                            <a:ext cx="909" cy="5"/>
                          </a:xfrm>
                          <a:prstGeom prst="straightConnector1">
                            <a:avLst/>
                          </a:prstGeom>
                          <a:noFill/>
                          <a:ln w="9525" cap="flat" cmpd="sng" algn="ctr">
                            <a:solidFill>
                              <a:srgbClr val="000000"/>
                            </a:solidFill>
                            <a:prstDash val="solid"/>
                            <a:tailEnd type="arrow"/>
                          </a:ln>
                          <a:effectLst/>
                        </wps:spPr>
                        <wps:bodyPr/>
                      </wps:wsp>
                    </wpg:wgp>
                  </a:graphicData>
                </a:graphic>
              </wp:anchor>
            </w:drawing>
          </mc:Choice>
          <mc:Fallback>
            <w:pict>
              <v:group id="_x0000_s1026" o:spid="_x0000_s1026" o:spt="203" style="position:absolute;left:0pt;margin-left:-3.35pt;margin-top:7.05pt;height:210.5pt;width:368.8pt;z-index:251659264;mso-width-relative:page;mso-height-relative:page;" coordorigin="4080,8705" coordsize="7376,4210" o:gfxdata="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">
                <o:lock v:ext="edit" aspectratio="f"/>
                <v:rect id="_x0000_s1026" o:spid="_x0000_s1026" o:spt="1" style="position:absolute;left:4080;top:8711;height:469;width:1483;v-text-anchor:middle;" fillcolor="#FFFFFF"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35FC6F1B">
                        <w:pPr>
                          <w:jc w:val="center"/>
                          <w:rPr>
                            <w:rFonts w:hint="default" w:eastAsia="宋体"/>
                            <w:sz w:val="18"/>
                            <w:szCs w:val="18"/>
                            <w:lang w:val="en-US" w:eastAsia="zh-CN"/>
                          </w:rPr>
                        </w:pPr>
                        <w:r>
                          <w:rPr>
                            <w:rFonts w:hint="eastAsia"/>
                            <w:sz w:val="18"/>
                            <w:szCs w:val="18"/>
                            <w:lang w:val="en-US" w:eastAsia="zh-CN"/>
                          </w:rPr>
                          <w:t>确定研究问题</w:t>
                        </w:r>
                      </w:p>
                    </w:txbxContent>
                  </v:textbox>
                </v:rect>
                <v:rect id="_x0000_s1026" o:spid="_x0000_s1026" o:spt="1" style="position:absolute;left:6448;top:8705;height:469;width:1483;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6DE1A619">
                        <w:pPr>
                          <w:jc w:val="center"/>
                          <w:rPr>
                            <w:rFonts w:hint="default" w:eastAsia="宋体"/>
                            <w:sz w:val="18"/>
                            <w:szCs w:val="18"/>
                            <w:lang w:val="en-US" w:eastAsia="zh-CN"/>
                          </w:rPr>
                        </w:pPr>
                        <w:r>
                          <w:rPr>
                            <w:rFonts w:hint="eastAsia"/>
                            <w:sz w:val="18"/>
                            <w:szCs w:val="18"/>
                            <w:lang w:val="en-US" w:eastAsia="zh-CN"/>
                          </w:rPr>
                          <w:t xml:space="preserve">文献研究  </w:t>
                        </w:r>
                      </w:p>
                    </w:txbxContent>
                  </v:textbox>
                </v:rect>
                <v:rect id="_x0000_s1026" o:spid="_x0000_s1026" o:spt="1" style="position:absolute;left:8739;top:8709;height:469;width:2443;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1E041C3B">
                        <w:pPr>
                          <w:jc w:val="center"/>
                          <w:rPr>
                            <w:rFonts w:hint="default" w:eastAsia="宋体"/>
                            <w:sz w:val="18"/>
                            <w:szCs w:val="18"/>
                            <w:lang w:val="en-US" w:eastAsia="zh-CN"/>
                          </w:rPr>
                        </w:pPr>
                        <w:r>
                          <w:rPr>
                            <w:rFonts w:hint="eastAsia"/>
                            <w:sz w:val="18"/>
                            <w:szCs w:val="18"/>
                            <w:lang w:val="en-US" w:eastAsia="zh-CN"/>
                          </w:rPr>
                          <w:t>教学质量提升</w:t>
                        </w:r>
                      </w:p>
                    </w:txbxContent>
                  </v:textbox>
                </v:rect>
                <v:rect id="_x0000_s1026" o:spid="_x0000_s1026" o:spt="1" style="position:absolute;left:6459;top:9648;height:469;width:1483;v-text-anchor:middle;" fillcolor="#FFFFFF" filled="t" stroked="t" coordsize="21600,21600" o:gfxdata="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S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47DD2C22">
                        <w:pPr>
                          <w:jc w:val="center"/>
                          <w:rPr>
                            <w:rFonts w:hint="default" w:eastAsia="宋体"/>
                            <w:sz w:val="18"/>
                            <w:szCs w:val="18"/>
                            <w:lang w:val="en-US" w:eastAsia="zh-CN"/>
                          </w:rPr>
                        </w:pPr>
                        <w:r>
                          <w:rPr>
                            <w:rFonts w:hint="eastAsia"/>
                            <w:sz w:val="18"/>
                            <w:szCs w:val="18"/>
                            <w:lang w:val="en-US" w:eastAsia="zh-CN"/>
                          </w:rPr>
                          <w:t>研究设计</w:t>
                        </w:r>
                      </w:p>
                    </w:txbxContent>
                  </v:textbox>
                </v:rect>
                <v:rect id="_x0000_s1026" o:spid="_x0000_s1026" o:spt="1" style="position:absolute;left:4124;top:10590;height:469;width:2031;v-text-anchor:middle;" fillcolor="#FFFFFF" filled="t" stroked="t" coordsize="21600,21600" o:gfxdata="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6V4m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488DCA77">
                        <w:pPr>
                          <w:jc w:val="center"/>
                          <w:rPr>
                            <w:rFonts w:hint="default" w:eastAsia="宋体"/>
                            <w:sz w:val="18"/>
                            <w:szCs w:val="18"/>
                            <w:lang w:val="en-US" w:eastAsia="zh-CN"/>
                          </w:rPr>
                        </w:pPr>
                        <w:r>
                          <w:rPr>
                            <w:rFonts w:hint="eastAsia"/>
                            <w:sz w:val="18"/>
                            <w:szCs w:val="18"/>
                            <w:lang w:val="en-US" w:eastAsia="zh-CN"/>
                          </w:rPr>
                          <w:t>县域高中资料</w:t>
                        </w:r>
                      </w:p>
                    </w:txbxContent>
                  </v:textbox>
                </v:rect>
                <v:rect id="_x0000_s1026" o:spid="_x0000_s1026" o:spt="1" style="position:absolute;left:6699;top:10584;height:469;width:2031;v-text-anchor:middle;" fillcolor="#FFFFFF" filled="t" stroked="t" coordsize="21600,21600" o:gfxdata="UEsDBAoAAAAAAIdO4kAAAAAAAAAAAAAAAAAEAAAAZHJzL1BLAwQUAAAACACHTuJAZqRsZb0AAADb&#10;AAAADwAAAGRycy9kb3ducmV2LnhtbEWPzWrDMBCE74W8g9hAbo0UE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pGxl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5E6C648">
                        <w:pPr>
                          <w:jc w:val="center"/>
                          <w:rPr>
                            <w:rFonts w:hint="default" w:eastAsia="宋体"/>
                            <w:sz w:val="18"/>
                            <w:szCs w:val="18"/>
                            <w:lang w:val="en-US" w:eastAsia="zh-CN"/>
                          </w:rPr>
                        </w:pPr>
                        <w:r>
                          <w:rPr>
                            <w:rFonts w:hint="eastAsia"/>
                            <w:sz w:val="18"/>
                            <w:szCs w:val="18"/>
                            <w:lang w:val="en-US" w:eastAsia="zh-CN"/>
                          </w:rPr>
                          <w:t>编制教师和学生问卷</w:t>
                        </w:r>
                      </w:p>
                      <w:p w14:paraId="18C5A079">
                        <w:pPr>
                          <w:jc w:val="center"/>
                          <w:rPr>
                            <w:rFonts w:hint="default" w:eastAsia="宋体"/>
                            <w:sz w:val="18"/>
                            <w:szCs w:val="18"/>
                            <w:lang w:val="en-US" w:eastAsia="zh-CN"/>
                          </w:rPr>
                        </w:pPr>
                      </w:p>
                    </w:txbxContent>
                  </v:textbox>
                </v:rect>
                <v:rect id="_x0000_s1026" o:spid="_x0000_s1026" o:spt="1" style="position:absolute;left:9426;top:10578;height:469;width:2031;v-text-anchor:middle;" fillcolor="#FFFFFF" filled="t" stroked="t" coordsize="21600,21600" o:gfxdata="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6M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5F90BECD">
                        <w:pPr>
                          <w:jc w:val="center"/>
                          <w:rPr>
                            <w:rFonts w:hint="default" w:eastAsia="宋体"/>
                            <w:sz w:val="18"/>
                            <w:szCs w:val="18"/>
                            <w:lang w:val="en-US" w:eastAsia="zh-CN"/>
                          </w:rPr>
                        </w:pPr>
                        <w:r>
                          <w:rPr>
                            <w:rFonts w:hint="eastAsia"/>
                            <w:sz w:val="18"/>
                            <w:szCs w:val="18"/>
                            <w:lang w:val="en-US" w:eastAsia="zh-CN"/>
                          </w:rPr>
                          <w:t>设计教师访谈提纲</w:t>
                        </w:r>
                      </w:p>
                    </w:txbxContent>
                  </v:textbox>
                </v:rect>
                <v:rect id="_x0000_s1026" o:spid="_x0000_s1026" o:spt="1" style="position:absolute;left:6732;top:11514;height:469;width:2031;v-text-anchor:middle;" fillcolor="#FFFFFF" filled="t" stroked="t" coordsize="21600,21600" o:gfxdata="UEsDBAoAAAAAAIdO4kAAAAAAAAAAAAAAAAAEAAAAZHJzL1BLAwQUAAAACACHTuJAGZ9qZr0AAADb&#10;AAAADwAAAGRycy9kb3ducmV2LnhtbEWPzWrDMBCE74W+g9hCbo0UU0L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2p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197A78B9">
                        <w:pPr>
                          <w:jc w:val="center"/>
                          <w:rPr>
                            <w:rFonts w:hint="default" w:eastAsia="宋体"/>
                            <w:sz w:val="18"/>
                            <w:szCs w:val="18"/>
                            <w:lang w:val="en-US" w:eastAsia="zh-CN"/>
                          </w:rPr>
                        </w:pPr>
                        <w:r>
                          <w:rPr>
                            <w:rFonts w:hint="eastAsia"/>
                            <w:sz w:val="18"/>
                            <w:szCs w:val="18"/>
                            <w:lang w:val="en-US" w:eastAsia="zh-CN"/>
                          </w:rPr>
                          <w:t>数据的收集和整理</w:t>
                        </w:r>
                      </w:p>
                    </w:txbxContent>
                  </v:textbox>
                </v:rect>
                <v:rect id="_x0000_s1026" o:spid="_x0000_s1026" o:spt="1" style="position:absolute;left:5565;top:12447;height:469;width:1483;v-text-anchor:middle;" fillcolor="#FFFFFF" filled="t" stroked="t" coordsize="21600,21600" o:gfxdata="UEsDBAoAAAAAAIdO4kAAAAAAAAAAAAAAAAAEAAAAZHJzL1BLAwQUAAAACACHTuJAdtPP/b0AAADb&#10;AAAADwAAAGRycy9kb3ducmV2LnhtbEWPQWsCMRSE7wX/Q3iCt5q4i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08/9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8C4CC81">
                        <w:pPr>
                          <w:jc w:val="center"/>
                          <w:rPr>
                            <w:rFonts w:hint="default" w:eastAsia="宋体"/>
                            <w:sz w:val="18"/>
                            <w:szCs w:val="18"/>
                            <w:lang w:val="en-US" w:eastAsia="zh-CN"/>
                          </w:rPr>
                        </w:pPr>
                        <w:r>
                          <w:rPr>
                            <w:rFonts w:hint="eastAsia"/>
                            <w:sz w:val="18"/>
                            <w:szCs w:val="18"/>
                            <w:lang w:val="en-US" w:eastAsia="zh-CN"/>
                          </w:rPr>
                          <w:t>分析与讨论</w:t>
                        </w:r>
                      </w:p>
                    </w:txbxContent>
                  </v:textbox>
                </v:rect>
                <v:rect id="_x0000_s1026" o:spid="_x0000_s1026" o:spt="1" style="position:absolute;left:7957;top:12442;height:469;width:1483;v-text-anchor:middle;" fillcolor="#FFFFFF"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2E1E574F">
                        <w:pPr>
                          <w:jc w:val="center"/>
                          <w:rPr>
                            <w:rFonts w:hint="default" w:eastAsia="宋体"/>
                            <w:sz w:val="18"/>
                            <w:szCs w:val="18"/>
                            <w:lang w:val="en-US" w:eastAsia="zh-CN"/>
                          </w:rPr>
                        </w:pPr>
                        <w:r>
                          <w:rPr>
                            <w:rFonts w:hint="eastAsia"/>
                            <w:sz w:val="18"/>
                            <w:szCs w:val="18"/>
                            <w:lang w:val="en-US" w:eastAsia="zh-CN"/>
                          </w:rPr>
                          <w:t>结论与建议</w:t>
                        </w:r>
                      </w:p>
                    </w:txbxContent>
                  </v:textbox>
                </v:rect>
                <v:shape id="_x0000_s1026" o:spid="_x0000_s1026" o:spt="32" type="#_x0000_t32" style="position:absolute;left:5563;top:8940;flip:y;height:6;width:885;" filled="f" stroked="t" coordsize="21600,21600" o:gfxdata="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7931;top:8940;height:4;width:808;" filled="f" stroked="t" coordsize="21600,21600" o:gfxdata="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xE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4" type="#_x0000_t34" style="position:absolute;left:8346;top:8033;height:2760;width:470;rotation:5898240f;" filled="f" stroked="t" coordsize="21600,21600" o:gfxdata="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xE+K/&#10;AAAA2wAAAA8AAAAAAAAAAQAgAAAAIgAAAGRycy9kb3ducmV2LnhtbFBLAQIUABQAAAAIAIdO4kAz&#10;LwWeOwAAADkAAAAQAAAAAAAAAAEAIAAAAA4BAABkcnMvc2hhcGV4bWwueG1sUEsFBgAAAAAGAAYA&#10;WwEAALgDAAAAAA==&#10;" adj="10800">
                  <v:fill on="f" focussize="0,0"/>
                  <v:stroke color="#F3F3F3" joinstyle="round" endarrow="open"/>
                  <v:imagedata o:title=""/>
                  <o:lock v:ext="edit" aspectratio="f"/>
                </v:shape>
                <v:shape id="_x0000_s1026" o:spid="_x0000_s1026" o:spt="34" type="#_x0000_t34" style="position:absolute;left:5934;top:9322;height:2061;width:473;rotation:5898240f;" filled="f" stroked="t" coordsize="21600,21600" o:gfxdata="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AuI28AAAA&#10;2wAAAA8AAAAAAAAAAQAgAAAAIgAAAGRycy9kb3ducmV2LnhtbFBLAQIUABQAAAAIAIdO4kAzLwWe&#10;OwAAADkAAAAQAAAAAAAAAAEAIAAAAAsBAABkcnMvc2hhcGV4bWwueG1sUEsFBgAAAAAGAAYAWwEA&#10;ALUDAAAAAA==&#10;" adj="10823">
                  <v:fill on="f" focussize="0,0"/>
                  <v:stroke color="#000000" joinstyle="round" endarrow="open"/>
                  <v:imagedata o:title=""/>
                  <o:lock v:ext="edit" aspectratio="f"/>
                </v:shape>
                <v:shape id="_x0000_s1026" o:spid="_x0000_s1026" o:spt="32" type="#_x0000_t32" style="position:absolute;left:6155;top:10819;flip:y;height:6;width:544;" filled="f" stroked="t" coordsize="21600,21600" o:gfxdata="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iOy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8730;top:10813;flip:y;height:6;width:696;" filled="f" stroked="t"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4" type="#_x0000_t34" style="position:absolute;left:8862;top:9933;height:2694;width:467;rotation:5898240f;" filled="f" stroked="t" coordsize="21600,21600" o:gfxdata="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shTL4A&#10;AADbAAAADwAAAAAAAAABACAAAAAiAAAAZHJzL2Rvd25yZXYueG1sUEsBAhQAFAAAAAgAh07iQDMv&#10;BZ47AAAAOQAAABAAAAAAAAAAAQAgAAAADQEAAGRycy9zaGFwZXhtbC54bWxQSwUGAAAAAAYABgBb&#10;AQAAtwMAAAAA&#10;" adj="10800">
                  <v:fill on="f" focussize="0,0"/>
                  <v:stroke color="#000000" joinstyle="round" endarrow="open"/>
                  <v:imagedata o:title=""/>
                  <o:lock v:ext="edit" aspectratio="f"/>
                </v:shape>
                <v:shape id="_x0000_s1026" o:spid="_x0000_s1026" o:spt="34" type="#_x0000_t34" style="position:absolute;left:6795;top:11494;height:1441;width:464;rotation:5898240f;" filled="f" stroked="t" coordsize="21600,21600" o:gfxdata="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VHlt&#10;wAAAANsAAAAPAAAAAAAAAAEAIAAAACIAAABkcnMvZG93bnJldi54bWxQSwECFAAUAAAACACHTuJA&#10;My8FnjsAAAA5AAAAEAAAAAAAAAABACAAAAAPAQAAZHJzL3NoYXBleG1sLnhtbFBLBQYAAAAABgAG&#10;AFsBAAC5AwAAAAA=&#10;" adj="10777">
                  <v:fill on="f" focussize="0,0"/>
                  <v:stroke color="#F3F3F3" joinstyle="round" endarrow="open"/>
                  <v:imagedata o:title=""/>
                  <o:lock v:ext="edit" aspectratio="f"/>
                </v:shape>
                <v:shape id="_x0000_s1026" o:spid="_x0000_s1026" o:spt="32" type="#_x0000_t32" style="position:absolute;left:7048;top:12677;flip:y;height:5;width:909;" filled="f" stroked="t" coordsize="21600,21600" o:gfxdata="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OIy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p>
    <w:p w14:paraId="1E1FD25E">
      <w:pPr>
        <w:pStyle w:val="6"/>
        <w:spacing w:line="360" w:lineRule="auto"/>
        <w:jc w:val="both"/>
        <w:rPr>
          <w:rFonts w:hint="eastAsia" w:ascii="仿宋" w:hAnsi="仿宋" w:eastAsia="仿宋" w:cs="仿宋"/>
          <w:b w:val="0"/>
          <w:bCs w:val="0"/>
          <w:color w:val="auto"/>
          <w:sz w:val="24"/>
          <w:szCs w:val="24"/>
        </w:rPr>
      </w:pPr>
    </w:p>
    <w:p w14:paraId="64FECE2A">
      <w:pPr>
        <w:pStyle w:val="6"/>
        <w:spacing w:line="360" w:lineRule="auto"/>
        <w:jc w:val="both"/>
        <w:rPr>
          <w:rFonts w:hint="eastAsia" w:ascii="仿宋" w:hAnsi="仿宋" w:eastAsia="仿宋" w:cs="仿宋"/>
          <w:b w:val="0"/>
          <w:bCs w:val="0"/>
          <w:color w:val="auto"/>
          <w:sz w:val="24"/>
          <w:szCs w:val="24"/>
        </w:rPr>
      </w:pPr>
    </w:p>
    <w:p w14:paraId="7C404ADD">
      <w:pPr>
        <w:pStyle w:val="6"/>
        <w:spacing w:line="360" w:lineRule="auto"/>
        <w:jc w:val="both"/>
        <w:rPr>
          <w:rFonts w:hint="eastAsia" w:ascii="仿宋" w:hAnsi="仿宋" w:eastAsia="仿宋" w:cs="仿宋"/>
          <w:b w:val="0"/>
          <w:bCs w:val="0"/>
          <w:color w:val="auto"/>
          <w:sz w:val="24"/>
          <w:szCs w:val="24"/>
        </w:rPr>
      </w:pPr>
    </w:p>
    <w:p w14:paraId="6EDAAADD">
      <w:pPr>
        <w:pStyle w:val="6"/>
        <w:spacing w:line="360" w:lineRule="auto"/>
        <w:jc w:val="both"/>
        <w:rPr>
          <w:rFonts w:hint="eastAsia" w:ascii="仿宋" w:hAnsi="仿宋" w:eastAsia="仿宋" w:cs="仿宋"/>
          <w:b w:val="0"/>
          <w:bCs w:val="0"/>
          <w:color w:val="auto"/>
          <w:sz w:val="24"/>
          <w:szCs w:val="24"/>
        </w:rPr>
      </w:pPr>
    </w:p>
    <w:p w14:paraId="2DF5A0EA">
      <w:pPr>
        <w:pStyle w:val="6"/>
        <w:spacing w:line="360" w:lineRule="auto"/>
        <w:jc w:val="both"/>
        <w:rPr>
          <w:rFonts w:hint="eastAsia" w:ascii="仿宋" w:hAnsi="仿宋" w:eastAsia="仿宋" w:cs="仿宋"/>
          <w:b w:val="0"/>
          <w:bCs w:val="0"/>
          <w:color w:val="auto"/>
          <w:sz w:val="24"/>
          <w:szCs w:val="24"/>
        </w:rPr>
      </w:pPr>
    </w:p>
    <w:p w14:paraId="5930F1B1">
      <w:pPr>
        <w:pStyle w:val="6"/>
        <w:spacing w:line="360" w:lineRule="auto"/>
        <w:jc w:val="both"/>
        <w:rPr>
          <w:rFonts w:hint="eastAsia" w:ascii="仿宋" w:hAnsi="仿宋" w:eastAsia="仿宋" w:cs="仿宋"/>
          <w:b w:val="0"/>
          <w:bCs w:val="0"/>
          <w:color w:val="auto"/>
          <w:sz w:val="24"/>
          <w:szCs w:val="24"/>
        </w:rPr>
      </w:pPr>
    </w:p>
    <w:p w14:paraId="1BB5F96B">
      <w:pPr>
        <w:pStyle w:val="6"/>
        <w:spacing w:line="360" w:lineRule="auto"/>
        <w:jc w:val="both"/>
        <w:rPr>
          <w:rFonts w:hint="eastAsia" w:ascii="仿宋" w:hAnsi="仿宋" w:eastAsia="仿宋" w:cs="仿宋"/>
          <w:b w:val="0"/>
          <w:bCs w:val="0"/>
          <w:color w:val="auto"/>
          <w:sz w:val="24"/>
          <w:szCs w:val="24"/>
        </w:rPr>
      </w:pPr>
    </w:p>
    <w:p w14:paraId="47DAB585">
      <w:pPr>
        <w:pStyle w:val="6"/>
        <w:spacing w:line="360" w:lineRule="auto"/>
        <w:jc w:val="both"/>
        <w:rPr>
          <w:rFonts w:hint="eastAsia" w:ascii="仿宋" w:hAnsi="仿宋" w:eastAsia="仿宋" w:cs="仿宋"/>
          <w:b w:val="0"/>
          <w:bCs w:val="0"/>
          <w:color w:val="auto"/>
          <w:sz w:val="24"/>
          <w:szCs w:val="24"/>
        </w:rPr>
      </w:pPr>
    </w:p>
    <w:p w14:paraId="13510132">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lang w:eastAsia="zh-CN"/>
        </w:rPr>
      </w:pPr>
    </w:p>
    <w:p w14:paraId="3E81E024">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研究发现或结论</w:t>
      </w:r>
    </w:p>
    <w:p w14:paraId="3A2E708C">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实验的目的</w:t>
      </w:r>
      <w:r>
        <w:rPr>
          <w:rFonts w:hint="eastAsia" w:ascii="仿宋" w:hAnsi="仿宋" w:eastAsia="仿宋" w:cs="仿宋"/>
          <w:color w:val="auto"/>
          <w:sz w:val="24"/>
          <w:szCs w:val="24"/>
          <w:lang w:eastAsia="zh-CN"/>
        </w:rPr>
        <w:t>：</w:t>
      </w:r>
    </w:p>
    <w:p w14:paraId="29E2ECC4">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利用</w:t>
      </w:r>
      <w:r>
        <w:rPr>
          <w:rFonts w:hint="eastAsia" w:ascii="仿宋" w:hAnsi="仿宋" w:eastAsia="仿宋" w:cs="仿宋"/>
          <w:color w:val="auto"/>
          <w:sz w:val="24"/>
          <w:szCs w:val="24"/>
          <w:lang w:val="en-US" w:eastAsia="zh-CN"/>
        </w:rPr>
        <w:t>创新现有教学模式</w:t>
      </w:r>
      <w:r>
        <w:rPr>
          <w:rFonts w:hint="eastAsia" w:ascii="仿宋" w:hAnsi="仿宋" w:eastAsia="仿宋" w:cs="仿宋"/>
          <w:color w:val="auto"/>
          <w:sz w:val="24"/>
          <w:szCs w:val="24"/>
        </w:rPr>
        <w:t>尝试进行教学实验，验证</w:t>
      </w:r>
      <w:r>
        <w:rPr>
          <w:rFonts w:hint="eastAsia" w:ascii="仿宋" w:hAnsi="仿宋" w:eastAsia="仿宋" w:cs="仿宋"/>
          <w:color w:val="auto"/>
          <w:sz w:val="24"/>
          <w:szCs w:val="24"/>
          <w:lang w:eastAsia="zh-CN"/>
        </w:rPr>
        <w:t>教学模式创新</w:t>
      </w:r>
      <w:r>
        <w:rPr>
          <w:rFonts w:hint="eastAsia" w:ascii="仿宋" w:hAnsi="仿宋" w:eastAsia="仿宋" w:cs="仿宋"/>
          <w:color w:val="auto"/>
          <w:sz w:val="24"/>
          <w:szCs w:val="24"/>
        </w:rPr>
        <w:t>策略在</w:t>
      </w:r>
      <w:r>
        <w:rPr>
          <w:rFonts w:hint="eastAsia" w:ascii="仿宋" w:hAnsi="仿宋" w:eastAsia="仿宋" w:cs="仿宋"/>
          <w:color w:val="auto"/>
          <w:sz w:val="24"/>
          <w:szCs w:val="24"/>
          <w:lang w:eastAsia="zh-CN"/>
        </w:rPr>
        <w:t>县域高中</w:t>
      </w:r>
      <w:r>
        <w:rPr>
          <w:rFonts w:hint="eastAsia" w:ascii="仿宋" w:hAnsi="仿宋" w:eastAsia="仿宋" w:cs="仿宋"/>
          <w:color w:val="auto"/>
          <w:sz w:val="24"/>
          <w:szCs w:val="24"/>
        </w:rPr>
        <w:t>教学中有效影响，以更好的</w:t>
      </w:r>
      <w:r>
        <w:rPr>
          <w:rFonts w:hint="eastAsia" w:ascii="仿宋" w:hAnsi="仿宋" w:eastAsia="仿宋" w:cs="仿宋"/>
          <w:color w:val="auto"/>
          <w:sz w:val="24"/>
          <w:szCs w:val="24"/>
          <w:lang w:val="en-US" w:eastAsia="zh-CN"/>
        </w:rPr>
        <w:t>提高</w:t>
      </w:r>
      <w:r>
        <w:rPr>
          <w:rFonts w:hint="eastAsia" w:ascii="仿宋" w:hAnsi="仿宋" w:eastAsia="仿宋" w:cs="仿宋"/>
          <w:color w:val="auto"/>
          <w:sz w:val="24"/>
          <w:szCs w:val="24"/>
        </w:rPr>
        <w:t>学生学习效率。</w:t>
      </w:r>
    </w:p>
    <w:p w14:paraId="0D558995">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实验的方法</w:t>
      </w:r>
      <w:r>
        <w:rPr>
          <w:rFonts w:hint="eastAsia" w:ascii="仿宋" w:hAnsi="仿宋" w:eastAsia="仿宋" w:cs="仿宋"/>
          <w:color w:val="auto"/>
          <w:sz w:val="24"/>
          <w:szCs w:val="24"/>
          <w:lang w:eastAsia="zh-CN"/>
        </w:rPr>
        <w:t>：</w:t>
      </w:r>
    </w:p>
    <w:p w14:paraId="21000471">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以</w:t>
      </w:r>
      <w:r>
        <w:rPr>
          <w:rFonts w:hint="eastAsia" w:ascii="仿宋" w:hAnsi="仿宋" w:eastAsia="仿宋" w:cs="仿宋"/>
          <w:color w:val="auto"/>
          <w:sz w:val="24"/>
          <w:szCs w:val="24"/>
          <w:lang w:val="en-US" w:eastAsia="zh-CN"/>
        </w:rPr>
        <w:t>高中</w:t>
      </w:r>
      <w:r>
        <w:rPr>
          <w:rFonts w:hint="eastAsia" w:ascii="仿宋" w:hAnsi="仿宋" w:eastAsia="仿宋" w:cs="仿宋"/>
          <w:color w:val="auto"/>
          <w:sz w:val="24"/>
          <w:szCs w:val="24"/>
        </w:rPr>
        <w:t>两个班作为实验对象，两个班均属初级</w:t>
      </w:r>
      <w:r>
        <w:rPr>
          <w:rFonts w:hint="eastAsia" w:ascii="仿宋" w:hAnsi="仿宋" w:eastAsia="仿宋" w:cs="仿宋"/>
          <w:color w:val="auto"/>
          <w:sz w:val="24"/>
          <w:szCs w:val="24"/>
          <w:lang w:val="en-US" w:eastAsia="zh-CN"/>
        </w:rPr>
        <w:t>高中</w:t>
      </w:r>
      <w:r>
        <w:rPr>
          <w:rFonts w:hint="eastAsia" w:ascii="仿宋" w:hAnsi="仿宋" w:eastAsia="仿宋" w:cs="仿宋"/>
          <w:color w:val="auto"/>
          <w:sz w:val="24"/>
          <w:szCs w:val="24"/>
        </w:rPr>
        <w:t>，每班43人，两个班级入班时是平行分班，所以学生的整体情况基本相同。同一年级都采用</w:t>
      </w:r>
      <w:r>
        <w:rPr>
          <w:rFonts w:hint="eastAsia" w:ascii="仿宋" w:hAnsi="仿宋" w:eastAsia="仿宋" w:cs="仿宋"/>
          <w:color w:val="auto"/>
          <w:sz w:val="24"/>
          <w:szCs w:val="24"/>
          <w:lang w:val="en-US" w:eastAsia="zh-CN"/>
        </w:rPr>
        <w:t>高中</w:t>
      </w:r>
      <w:r>
        <w:rPr>
          <w:rFonts w:hint="eastAsia" w:ascii="仿宋" w:hAnsi="仿宋" w:eastAsia="仿宋" w:cs="仿宋"/>
          <w:color w:val="auto"/>
          <w:sz w:val="24"/>
          <w:szCs w:val="24"/>
        </w:rPr>
        <w:t>教材，使用相同复习资料，相同的教学进度，以保证两个班的公平度。实验周期为一个学期，其中笔者所教的班级为实验班，采取</w:t>
      </w:r>
      <w:r>
        <w:rPr>
          <w:rFonts w:hint="eastAsia" w:ascii="仿宋" w:hAnsi="仿宋" w:eastAsia="仿宋" w:cs="仿宋"/>
          <w:color w:val="auto"/>
          <w:sz w:val="24"/>
          <w:szCs w:val="24"/>
          <w:lang w:eastAsia="zh-CN"/>
        </w:rPr>
        <w:t>教学模式创新</w:t>
      </w:r>
      <w:r>
        <w:rPr>
          <w:rFonts w:hint="eastAsia" w:ascii="仿宋" w:hAnsi="仿宋" w:eastAsia="仿宋" w:cs="仿宋"/>
          <w:color w:val="auto"/>
          <w:sz w:val="24"/>
          <w:szCs w:val="24"/>
        </w:rPr>
        <w:t>，另一个班为对照班，采用普通的教学方式。</w:t>
      </w:r>
    </w:p>
    <w:p w14:paraId="1D98273D">
      <w:p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实验结果分析阶段</w:t>
      </w:r>
      <w:r>
        <w:rPr>
          <w:rFonts w:hint="eastAsia" w:ascii="仿宋" w:hAnsi="仿宋" w:eastAsia="仿宋" w:cs="仿宋"/>
          <w:color w:val="auto"/>
          <w:sz w:val="24"/>
          <w:szCs w:val="24"/>
          <w:lang w:eastAsia="zh-CN"/>
        </w:rPr>
        <w:t>：</w:t>
      </w:r>
    </w:p>
    <w:p w14:paraId="5B74E1C7">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把</w:t>
      </w:r>
      <w:r>
        <w:rPr>
          <w:rFonts w:hint="eastAsia" w:ascii="仿宋" w:hAnsi="仿宋" w:eastAsia="仿宋" w:cs="仿宋"/>
          <w:color w:val="auto"/>
          <w:sz w:val="24"/>
          <w:szCs w:val="24"/>
          <w:lang w:val="en-US" w:eastAsia="zh-CN"/>
        </w:rPr>
        <w:t>高一</w:t>
      </w:r>
      <w:r>
        <w:rPr>
          <w:rFonts w:hint="eastAsia" w:ascii="仿宋" w:hAnsi="仿宋" w:eastAsia="仿宋" w:cs="仿宋"/>
          <w:color w:val="auto"/>
          <w:sz w:val="24"/>
          <w:szCs w:val="24"/>
        </w:rPr>
        <w:t>下学期分班后的期末可考试成绩作为前测,</w:t>
      </w:r>
      <w:r>
        <w:rPr>
          <w:rFonts w:hint="eastAsia" w:ascii="仿宋" w:hAnsi="仿宋" w:eastAsia="仿宋" w:cs="仿宋"/>
          <w:color w:val="auto"/>
          <w:sz w:val="24"/>
          <w:szCs w:val="24"/>
          <w:lang w:val="en-US" w:eastAsia="zh-CN"/>
        </w:rPr>
        <w:t>高二</w:t>
      </w:r>
      <w:r>
        <w:rPr>
          <w:rFonts w:hint="eastAsia" w:ascii="仿宋" w:hAnsi="仿宋" w:eastAsia="仿宋" w:cs="仿宋"/>
          <w:color w:val="auto"/>
          <w:sz w:val="24"/>
          <w:szCs w:val="24"/>
        </w:rPr>
        <w:t>上半学期的期中考试成绩作为中测，</w:t>
      </w:r>
      <w:r>
        <w:rPr>
          <w:rFonts w:hint="eastAsia" w:ascii="仿宋" w:hAnsi="仿宋" w:eastAsia="仿宋" w:cs="仿宋"/>
          <w:color w:val="auto"/>
          <w:sz w:val="24"/>
          <w:szCs w:val="24"/>
          <w:lang w:val="en-US" w:eastAsia="zh-CN"/>
        </w:rPr>
        <w:t>高二下</w:t>
      </w:r>
      <w:r>
        <w:rPr>
          <w:rFonts w:hint="eastAsia" w:ascii="仿宋" w:hAnsi="仿宋" w:eastAsia="仿宋" w:cs="仿宋"/>
          <w:color w:val="auto"/>
          <w:sz w:val="24"/>
          <w:szCs w:val="24"/>
        </w:rPr>
        <w:t>半学期的期末考试成绩作为后测。通过对试验班和对照班三次考试成绩变化进行统计分析，得出实验结论。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2D1A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17" w:type="dxa"/>
            <w:vMerge w:val="restart"/>
            <w:tcBorders>
              <w:left w:val="nil"/>
              <w:bottom w:val="nil"/>
              <w:right w:val="nil"/>
            </w:tcBorders>
            <w:noWrap w:val="0"/>
            <w:vAlign w:val="top"/>
          </w:tcPr>
          <w:p w14:paraId="525072AA">
            <w:pPr>
              <w:spacing w:line="360" w:lineRule="auto"/>
              <w:jc w:val="both"/>
              <w:rPr>
                <w:rFonts w:hint="eastAsia" w:ascii="仿宋" w:hAnsi="仿宋" w:eastAsia="仿宋" w:cs="仿宋"/>
                <w:color w:val="auto"/>
                <w:sz w:val="24"/>
                <w:szCs w:val="24"/>
                <w:vertAlign w:val="baseline"/>
              </w:rPr>
            </w:pPr>
          </w:p>
        </w:tc>
        <w:tc>
          <w:tcPr>
            <w:tcW w:w="2434" w:type="dxa"/>
            <w:gridSpan w:val="2"/>
            <w:tcBorders>
              <w:left w:val="nil"/>
              <w:bottom w:val="single" w:color="auto" w:sz="4" w:space="0"/>
              <w:right w:val="nil"/>
            </w:tcBorders>
            <w:noWrap w:val="0"/>
            <w:vAlign w:val="top"/>
          </w:tcPr>
          <w:p w14:paraId="740C8545">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前测</w:t>
            </w:r>
          </w:p>
        </w:tc>
        <w:tc>
          <w:tcPr>
            <w:tcW w:w="2435" w:type="dxa"/>
            <w:gridSpan w:val="2"/>
            <w:tcBorders>
              <w:left w:val="nil"/>
              <w:bottom w:val="single" w:color="auto" w:sz="4" w:space="0"/>
              <w:right w:val="nil"/>
            </w:tcBorders>
            <w:noWrap w:val="0"/>
            <w:vAlign w:val="top"/>
          </w:tcPr>
          <w:p w14:paraId="7FBF60D8">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中测</w:t>
            </w:r>
          </w:p>
        </w:tc>
        <w:tc>
          <w:tcPr>
            <w:tcW w:w="2436" w:type="dxa"/>
            <w:gridSpan w:val="2"/>
            <w:tcBorders>
              <w:left w:val="nil"/>
              <w:bottom w:val="single" w:color="auto" w:sz="4" w:space="0"/>
              <w:right w:val="nil"/>
            </w:tcBorders>
            <w:noWrap w:val="0"/>
            <w:vAlign w:val="top"/>
          </w:tcPr>
          <w:p w14:paraId="5401E1D5">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后测</w:t>
            </w:r>
          </w:p>
        </w:tc>
      </w:tr>
      <w:tr w14:paraId="5C92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Borders>
              <w:top w:val="nil"/>
              <w:left w:val="nil"/>
              <w:bottom w:val="single" w:color="auto" w:sz="4" w:space="0"/>
              <w:right w:val="nil"/>
            </w:tcBorders>
            <w:noWrap w:val="0"/>
            <w:vAlign w:val="top"/>
          </w:tcPr>
          <w:p w14:paraId="7FA229F3">
            <w:pPr>
              <w:spacing w:line="360" w:lineRule="auto"/>
              <w:jc w:val="both"/>
              <w:rPr>
                <w:rFonts w:hint="eastAsia" w:ascii="仿宋" w:hAnsi="仿宋" w:eastAsia="仿宋" w:cs="仿宋"/>
                <w:color w:val="auto"/>
                <w:sz w:val="24"/>
                <w:szCs w:val="24"/>
                <w:vertAlign w:val="baseline"/>
              </w:rPr>
            </w:pPr>
          </w:p>
        </w:tc>
        <w:tc>
          <w:tcPr>
            <w:tcW w:w="1217" w:type="dxa"/>
            <w:tcBorders>
              <w:top w:val="single" w:color="auto" w:sz="4" w:space="0"/>
              <w:left w:val="nil"/>
              <w:bottom w:val="single" w:color="auto" w:sz="4" w:space="0"/>
              <w:right w:val="nil"/>
            </w:tcBorders>
            <w:noWrap w:val="0"/>
            <w:vAlign w:val="top"/>
          </w:tcPr>
          <w:p w14:paraId="40D91454">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实验班</w:t>
            </w:r>
          </w:p>
        </w:tc>
        <w:tc>
          <w:tcPr>
            <w:tcW w:w="1217" w:type="dxa"/>
            <w:tcBorders>
              <w:top w:val="single" w:color="auto" w:sz="4" w:space="0"/>
              <w:left w:val="nil"/>
              <w:bottom w:val="single" w:color="auto" w:sz="4" w:space="0"/>
              <w:right w:val="nil"/>
            </w:tcBorders>
            <w:noWrap w:val="0"/>
            <w:vAlign w:val="top"/>
          </w:tcPr>
          <w:p w14:paraId="6403A2A1">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对照班</w:t>
            </w:r>
          </w:p>
        </w:tc>
        <w:tc>
          <w:tcPr>
            <w:tcW w:w="1217" w:type="dxa"/>
            <w:tcBorders>
              <w:top w:val="single" w:color="auto" w:sz="4" w:space="0"/>
              <w:left w:val="nil"/>
              <w:bottom w:val="single" w:color="auto" w:sz="4" w:space="0"/>
              <w:right w:val="nil"/>
            </w:tcBorders>
            <w:noWrap w:val="0"/>
            <w:vAlign w:val="top"/>
          </w:tcPr>
          <w:p w14:paraId="5DDBD60A">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实验班</w:t>
            </w:r>
          </w:p>
        </w:tc>
        <w:tc>
          <w:tcPr>
            <w:tcW w:w="1218" w:type="dxa"/>
            <w:tcBorders>
              <w:top w:val="single" w:color="auto" w:sz="4" w:space="0"/>
              <w:left w:val="nil"/>
              <w:bottom w:val="single" w:color="auto" w:sz="4" w:space="0"/>
              <w:right w:val="nil"/>
            </w:tcBorders>
            <w:noWrap w:val="0"/>
            <w:vAlign w:val="top"/>
          </w:tcPr>
          <w:p w14:paraId="54C2B632">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对照班</w:t>
            </w:r>
          </w:p>
        </w:tc>
        <w:tc>
          <w:tcPr>
            <w:tcW w:w="1218" w:type="dxa"/>
            <w:tcBorders>
              <w:top w:val="single" w:color="auto" w:sz="4" w:space="0"/>
              <w:left w:val="nil"/>
              <w:bottom w:val="single" w:color="auto" w:sz="4" w:space="0"/>
              <w:right w:val="nil"/>
            </w:tcBorders>
            <w:noWrap w:val="0"/>
            <w:vAlign w:val="top"/>
          </w:tcPr>
          <w:p w14:paraId="4A53DE81">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实验班</w:t>
            </w:r>
          </w:p>
        </w:tc>
        <w:tc>
          <w:tcPr>
            <w:tcW w:w="1218" w:type="dxa"/>
            <w:tcBorders>
              <w:top w:val="single" w:color="auto" w:sz="4" w:space="0"/>
              <w:left w:val="nil"/>
              <w:bottom w:val="single" w:color="auto" w:sz="4" w:space="0"/>
              <w:right w:val="nil"/>
            </w:tcBorders>
            <w:noWrap w:val="0"/>
            <w:vAlign w:val="top"/>
          </w:tcPr>
          <w:p w14:paraId="20158BE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对照班</w:t>
            </w:r>
          </w:p>
        </w:tc>
      </w:tr>
      <w:tr w14:paraId="115A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nil"/>
              <w:bottom w:val="nil"/>
              <w:right w:val="nil"/>
            </w:tcBorders>
            <w:noWrap w:val="0"/>
            <w:vAlign w:val="top"/>
          </w:tcPr>
          <w:p w14:paraId="05E3854D">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平均分</w:t>
            </w:r>
          </w:p>
        </w:tc>
        <w:tc>
          <w:tcPr>
            <w:tcW w:w="1217" w:type="dxa"/>
            <w:tcBorders>
              <w:top w:val="single" w:color="auto" w:sz="4" w:space="0"/>
              <w:left w:val="nil"/>
              <w:bottom w:val="nil"/>
              <w:right w:val="nil"/>
            </w:tcBorders>
            <w:noWrap w:val="0"/>
            <w:vAlign w:val="top"/>
          </w:tcPr>
          <w:p w14:paraId="3D3574F7">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52.10</w:t>
            </w:r>
          </w:p>
        </w:tc>
        <w:tc>
          <w:tcPr>
            <w:tcW w:w="1217" w:type="dxa"/>
            <w:tcBorders>
              <w:top w:val="single" w:color="auto" w:sz="4" w:space="0"/>
              <w:left w:val="nil"/>
              <w:bottom w:val="nil"/>
              <w:right w:val="nil"/>
            </w:tcBorders>
            <w:noWrap w:val="0"/>
            <w:vAlign w:val="top"/>
          </w:tcPr>
          <w:p w14:paraId="4BB754CF">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51.59</w:t>
            </w:r>
          </w:p>
        </w:tc>
        <w:tc>
          <w:tcPr>
            <w:tcW w:w="1217" w:type="dxa"/>
            <w:tcBorders>
              <w:top w:val="single" w:color="auto" w:sz="4" w:space="0"/>
              <w:left w:val="nil"/>
              <w:bottom w:val="nil"/>
              <w:right w:val="nil"/>
            </w:tcBorders>
            <w:noWrap w:val="0"/>
            <w:vAlign w:val="top"/>
          </w:tcPr>
          <w:p w14:paraId="42DED0C5">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55.88</w:t>
            </w:r>
          </w:p>
        </w:tc>
        <w:tc>
          <w:tcPr>
            <w:tcW w:w="1218" w:type="dxa"/>
            <w:tcBorders>
              <w:top w:val="single" w:color="auto" w:sz="4" w:space="0"/>
              <w:left w:val="nil"/>
              <w:bottom w:val="nil"/>
              <w:right w:val="nil"/>
            </w:tcBorders>
            <w:noWrap w:val="0"/>
            <w:vAlign w:val="top"/>
          </w:tcPr>
          <w:p w14:paraId="66BB99DD">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50.34</w:t>
            </w:r>
          </w:p>
        </w:tc>
        <w:tc>
          <w:tcPr>
            <w:tcW w:w="1218" w:type="dxa"/>
            <w:tcBorders>
              <w:top w:val="single" w:color="auto" w:sz="4" w:space="0"/>
              <w:left w:val="nil"/>
              <w:bottom w:val="nil"/>
              <w:right w:val="nil"/>
            </w:tcBorders>
            <w:noWrap w:val="0"/>
            <w:vAlign w:val="top"/>
          </w:tcPr>
          <w:p w14:paraId="622FD214">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65.22</w:t>
            </w:r>
          </w:p>
        </w:tc>
        <w:tc>
          <w:tcPr>
            <w:tcW w:w="1218" w:type="dxa"/>
            <w:tcBorders>
              <w:top w:val="single" w:color="auto" w:sz="4" w:space="0"/>
              <w:left w:val="nil"/>
              <w:bottom w:val="nil"/>
              <w:right w:val="nil"/>
            </w:tcBorders>
            <w:noWrap w:val="0"/>
            <w:vAlign w:val="top"/>
          </w:tcPr>
          <w:p w14:paraId="6B8384BE">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57.32</w:t>
            </w:r>
          </w:p>
        </w:tc>
      </w:tr>
      <w:tr w14:paraId="0202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noWrap w:val="0"/>
            <w:vAlign w:val="top"/>
          </w:tcPr>
          <w:p w14:paraId="5F19F602">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中位数</w:t>
            </w:r>
          </w:p>
        </w:tc>
        <w:tc>
          <w:tcPr>
            <w:tcW w:w="1217" w:type="dxa"/>
            <w:tcBorders>
              <w:top w:val="nil"/>
              <w:left w:val="nil"/>
              <w:bottom w:val="nil"/>
              <w:right w:val="nil"/>
            </w:tcBorders>
            <w:noWrap w:val="0"/>
            <w:vAlign w:val="top"/>
          </w:tcPr>
          <w:p w14:paraId="2B30B097">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49</w:t>
            </w:r>
          </w:p>
        </w:tc>
        <w:tc>
          <w:tcPr>
            <w:tcW w:w="1217" w:type="dxa"/>
            <w:tcBorders>
              <w:top w:val="nil"/>
              <w:left w:val="nil"/>
              <w:bottom w:val="nil"/>
              <w:right w:val="nil"/>
            </w:tcBorders>
            <w:noWrap w:val="0"/>
            <w:vAlign w:val="top"/>
          </w:tcPr>
          <w:p w14:paraId="6BF00F43">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50</w:t>
            </w:r>
          </w:p>
        </w:tc>
        <w:tc>
          <w:tcPr>
            <w:tcW w:w="1217" w:type="dxa"/>
            <w:tcBorders>
              <w:top w:val="nil"/>
              <w:left w:val="nil"/>
              <w:bottom w:val="nil"/>
              <w:right w:val="nil"/>
            </w:tcBorders>
            <w:noWrap w:val="0"/>
            <w:vAlign w:val="top"/>
          </w:tcPr>
          <w:p w14:paraId="18C42D1E">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58</w:t>
            </w:r>
          </w:p>
        </w:tc>
        <w:tc>
          <w:tcPr>
            <w:tcW w:w="1218" w:type="dxa"/>
            <w:tcBorders>
              <w:top w:val="nil"/>
              <w:left w:val="nil"/>
              <w:bottom w:val="nil"/>
              <w:right w:val="nil"/>
            </w:tcBorders>
            <w:noWrap w:val="0"/>
            <w:vAlign w:val="top"/>
          </w:tcPr>
          <w:p w14:paraId="60DA73C0">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49</w:t>
            </w:r>
          </w:p>
        </w:tc>
        <w:tc>
          <w:tcPr>
            <w:tcW w:w="1218" w:type="dxa"/>
            <w:tcBorders>
              <w:top w:val="nil"/>
              <w:left w:val="nil"/>
              <w:bottom w:val="nil"/>
              <w:right w:val="nil"/>
            </w:tcBorders>
            <w:noWrap w:val="0"/>
            <w:vAlign w:val="top"/>
          </w:tcPr>
          <w:p w14:paraId="6ACEC862">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70</w:t>
            </w:r>
          </w:p>
        </w:tc>
        <w:tc>
          <w:tcPr>
            <w:tcW w:w="1218" w:type="dxa"/>
            <w:tcBorders>
              <w:top w:val="nil"/>
              <w:left w:val="nil"/>
              <w:bottom w:val="nil"/>
              <w:right w:val="nil"/>
            </w:tcBorders>
            <w:noWrap w:val="0"/>
            <w:vAlign w:val="top"/>
          </w:tcPr>
          <w:p w14:paraId="68B962C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54</w:t>
            </w:r>
          </w:p>
        </w:tc>
      </w:tr>
      <w:tr w14:paraId="103F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noWrap w:val="0"/>
            <w:vAlign w:val="top"/>
          </w:tcPr>
          <w:p w14:paraId="019EF3B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众数</w:t>
            </w:r>
          </w:p>
        </w:tc>
        <w:tc>
          <w:tcPr>
            <w:tcW w:w="1217" w:type="dxa"/>
            <w:tcBorders>
              <w:top w:val="nil"/>
              <w:left w:val="nil"/>
              <w:bottom w:val="nil"/>
              <w:right w:val="nil"/>
            </w:tcBorders>
            <w:noWrap w:val="0"/>
            <w:vAlign w:val="top"/>
          </w:tcPr>
          <w:p w14:paraId="3D79C39C">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76</w:t>
            </w:r>
          </w:p>
        </w:tc>
        <w:tc>
          <w:tcPr>
            <w:tcW w:w="1217" w:type="dxa"/>
            <w:tcBorders>
              <w:top w:val="nil"/>
              <w:left w:val="nil"/>
              <w:bottom w:val="nil"/>
              <w:right w:val="nil"/>
            </w:tcBorders>
            <w:noWrap w:val="0"/>
            <w:vAlign w:val="top"/>
          </w:tcPr>
          <w:p w14:paraId="31FC1376">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80</w:t>
            </w:r>
          </w:p>
        </w:tc>
        <w:tc>
          <w:tcPr>
            <w:tcW w:w="1217" w:type="dxa"/>
            <w:tcBorders>
              <w:top w:val="nil"/>
              <w:left w:val="nil"/>
              <w:bottom w:val="nil"/>
              <w:right w:val="nil"/>
            </w:tcBorders>
            <w:noWrap w:val="0"/>
            <w:vAlign w:val="top"/>
          </w:tcPr>
          <w:p w14:paraId="0E94D57C">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59</w:t>
            </w:r>
          </w:p>
        </w:tc>
        <w:tc>
          <w:tcPr>
            <w:tcW w:w="1218" w:type="dxa"/>
            <w:tcBorders>
              <w:top w:val="nil"/>
              <w:left w:val="nil"/>
              <w:bottom w:val="nil"/>
              <w:right w:val="nil"/>
            </w:tcBorders>
            <w:noWrap w:val="0"/>
            <w:vAlign w:val="top"/>
          </w:tcPr>
          <w:p w14:paraId="0B73C08B">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49</w:t>
            </w:r>
          </w:p>
        </w:tc>
        <w:tc>
          <w:tcPr>
            <w:tcW w:w="1218" w:type="dxa"/>
            <w:tcBorders>
              <w:top w:val="nil"/>
              <w:left w:val="nil"/>
              <w:bottom w:val="nil"/>
              <w:right w:val="nil"/>
            </w:tcBorders>
            <w:noWrap w:val="0"/>
            <w:vAlign w:val="top"/>
          </w:tcPr>
          <w:p w14:paraId="505F5D06">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77</w:t>
            </w:r>
          </w:p>
        </w:tc>
        <w:tc>
          <w:tcPr>
            <w:tcW w:w="1218" w:type="dxa"/>
            <w:tcBorders>
              <w:top w:val="nil"/>
              <w:left w:val="nil"/>
              <w:bottom w:val="nil"/>
              <w:right w:val="nil"/>
            </w:tcBorders>
            <w:noWrap w:val="0"/>
            <w:vAlign w:val="top"/>
          </w:tcPr>
          <w:p w14:paraId="01F04CDE">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69</w:t>
            </w:r>
          </w:p>
        </w:tc>
      </w:tr>
      <w:tr w14:paraId="73DF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noWrap w:val="0"/>
            <w:vAlign w:val="top"/>
          </w:tcPr>
          <w:p w14:paraId="50C0CD93">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最大值</w:t>
            </w:r>
          </w:p>
        </w:tc>
        <w:tc>
          <w:tcPr>
            <w:tcW w:w="1217" w:type="dxa"/>
            <w:tcBorders>
              <w:top w:val="nil"/>
              <w:left w:val="nil"/>
              <w:bottom w:val="nil"/>
              <w:right w:val="nil"/>
            </w:tcBorders>
            <w:noWrap w:val="0"/>
            <w:vAlign w:val="top"/>
          </w:tcPr>
          <w:p w14:paraId="203C73B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88</w:t>
            </w:r>
          </w:p>
        </w:tc>
        <w:tc>
          <w:tcPr>
            <w:tcW w:w="1217" w:type="dxa"/>
            <w:tcBorders>
              <w:top w:val="nil"/>
              <w:left w:val="nil"/>
              <w:bottom w:val="nil"/>
              <w:right w:val="nil"/>
            </w:tcBorders>
            <w:noWrap w:val="0"/>
            <w:vAlign w:val="top"/>
          </w:tcPr>
          <w:p w14:paraId="5731BDD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91</w:t>
            </w:r>
          </w:p>
        </w:tc>
        <w:tc>
          <w:tcPr>
            <w:tcW w:w="1217" w:type="dxa"/>
            <w:tcBorders>
              <w:top w:val="nil"/>
              <w:left w:val="nil"/>
              <w:bottom w:val="nil"/>
              <w:right w:val="nil"/>
            </w:tcBorders>
            <w:noWrap w:val="0"/>
            <w:vAlign w:val="top"/>
          </w:tcPr>
          <w:p w14:paraId="55718467">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91</w:t>
            </w:r>
          </w:p>
        </w:tc>
        <w:tc>
          <w:tcPr>
            <w:tcW w:w="1218" w:type="dxa"/>
            <w:tcBorders>
              <w:top w:val="nil"/>
              <w:left w:val="nil"/>
              <w:bottom w:val="nil"/>
              <w:right w:val="nil"/>
            </w:tcBorders>
            <w:noWrap w:val="0"/>
            <w:vAlign w:val="top"/>
          </w:tcPr>
          <w:p w14:paraId="7B3B840A">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85</w:t>
            </w:r>
          </w:p>
        </w:tc>
        <w:tc>
          <w:tcPr>
            <w:tcW w:w="1218" w:type="dxa"/>
            <w:tcBorders>
              <w:top w:val="nil"/>
              <w:left w:val="nil"/>
              <w:bottom w:val="nil"/>
              <w:right w:val="nil"/>
            </w:tcBorders>
            <w:noWrap w:val="0"/>
            <w:vAlign w:val="top"/>
          </w:tcPr>
          <w:p w14:paraId="060D388E">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94</w:t>
            </w:r>
          </w:p>
        </w:tc>
        <w:tc>
          <w:tcPr>
            <w:tcW w:w="1218" w:type="dxa"/>
            <w:tcBorders>
              <w:top w:val="nil"/>
              <w:left w:val="nil"/>
              <w:bottom w:val="nil"/>
              <w:right w:val="nil"/>
            </w:tcBorders>
            <w:noWrap w:val="0"/>
            <w:vAlign w:val="top"/>
          </w:tcPr>
          <w:p w14:paraId="37C7034B">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88</w:t>
            </w:r>
          </w:p>
        </w:tc>
      </w:tr>
      <w:tr w14:paraId="222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noWrap w:val="0"/>
            <w:vAlign w:val="top"/>
          </w:tcPr>
          <w:p w14:paraId="567DB89A">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最小值</w:t>
            </w:r>
          </w:p>
        </w:tc>
        <w:tc>
          <w:tcPr>
            <w:tcW w:w="1217" w:type="dxa"/>
            <w:tcBorders>
              <w:top w:val="nil"/>
              <w:left w:val="nil"/>
              <w:bottom w:val="nil"/>
              <w:right w:val="nil"/>
            </w:tcBorders>
            <w:noWrap w:val="0"/>
            <w:vAlign w:val="top"/>
          </w:tcPr>
          <w:p w14:paraId="5655A8B9">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14</w:t>
            </w:r>
          </w:p>
        </w:tc>
        <w:tc>
          <w:tcPr>
            <w:tcW w:w="1217" w:type="dxa"/>
            <w:tcBorders>
              <w:top w:val="nil"/>
              <w:left w:val="nil"/>
              <w:bottom w:val="nil"/>
              <w:right w:val="nil"/>
            </w:tcBorders>
            <w:noWrap w:val="0"/>
            <w:vAlign w:val="top"/>
          </w:tcPr>
          <w:p w14:paraId="4B4B4153">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13</w:t>
            </w:r>
          </w:p>
        </w:tc>
        <w:tc>
          <w:tcPr>
            <w:tcW w:w="1217" w:type="dxa"/>
            <w:tcBorders>
              <w:top w:val="nil"/>
              <w:left w:val="nil"/>
              <w:bottom w:val="nil"/>
              <w:right w:val="nil"/>
            </w:tcBorders>
            <w:noWrap w:val="0"/>
            <w:vAlign w:val="top"/>
          </w:tcPr>
          <w:p w14:paraId="576B313F">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28</w:t>
            </w:r>
          </w:p>
        </w:tc>
        <w:tc>
          <w:tcPr>
            <w:tcW w:w="1218" w:type="dxa"/>
            <w:tcBorders>
              <w:top w:val="nil"/>
              <w:left w:val="nil"/>
              <w:bottom w:val="nil"/>
              <w:right w:val="nil"/>
            </w:tcBorders>
            <w:noWrap w:val="0"/>
            <w:vAlign w:val="top"/>
          </w:tcPr>
          <w:p w14:paraId="406AB381">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16</w:t>
            </w:r>
          </w:p>
        </w:tc>
        <w:tc>
          <w:tcPr>
            <w:tcW w:w="1218" w:type="dxa"/>
            <w:tcBorders>
              <w:top w:val="nil"/>
              <w:left w:val="nil"/>
              <w:bottom w:val="nil"/>
              <w:right w:val="nil"/>
            </w:tcBorders>
            <w:noWrap w:val="0"/>
            <w:vAlign w:val="top"/>
          </w:tcPr>
          <w:p w14:paraId="28C8FB44">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32</w:t>
            </w:r>
          </w:p>
        </w:tc>
        <w:tc>
          <w:tcPr>
            <w:tcW w:w="1218" w:type="dxa"/>
            <w:tcBorders>
              <w:top w:val="nil"/>
              <w:left w:val="nil"/>
              <w:bottom w:val="nil"/>
              <w:right w:val="nil"/>
            </w:tcBorders>
            <w:noWrap w:val="0"/>
            <w:vAlign w:val="top"/>
          </w:tcPr>
          <w:p w14:paraId="427DCEAC">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30</w:t>
            </w:r>
          </w:p>
        </w:tc>
      </w:tr>
      <w:tr w14:paraId="681A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noWrap w:val="0"/>
            <w:vAlign w:val="top"/>
          </w:tcPr>
          <w:p w14:paraId="172A4CF7">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标准差</w:t>
            </w:r>
          </w:p>
        </w:tc>
        <w:tc>
          <w:tcPr>
            <w:tcW w:w="1217" w:type="dxa"/>
            <w:tcBorders>
              <w:top w:val="nil"/>
              <w:left w:val="nil"/>
              <w:bottom w:val="nil"/>
              <w:right w:val="nil"/>
            </w:tcBorders>
            <w:noWrap w:val="0"/>
            <w:vAlign w:val="top"/>
          </w:tcPr>
          <w:p w14:paraId="6D01C649">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22.55</w:t>
            </w:r>
          </w:p>
        </w:tc>
        <w:tc>
          <w:tcPr>
            <w:tcW w:w="1217" w:type="dxa"/>
            <w:tcBorders>
              <w:top w:val="nil"/>
              <w:left w:val="nil"/>
              <w:bottom w:val="nil"/>
              <w:right w:val="nil"/>
            </w:tcBorders>
            <w:noWrap w:val="0"/>
            <w:vAlign w:val="top"/>
          </w:tcPr>
          <w:p w14:paraId="7C8FD0C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23.42</w:t>
            </w:r>
          </w:p>
        </w:tc>
        <w:tc>
          <w:tcPr>
            <w:tcW w:w="1217" w:type="dxa"/>
            <w:tcBorders>
              <w:top w:val="nil"/>
              <w:left w:val="nil"/>
              <w:bottom w:val="nil"/>
              <w:right w:val="nil"/>
            </w:tcBorders>
            <w:noWrap w:val="0"/>
            <w:vAlign w:val="top"/>
          </w:tcPr>
          <w:p w14:paraId="6F3F4061">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16.80</w:t>
            </w:r>
          </w:p>
        </w:tc>
        <w:tc>
          <w:tcPr>
            <w:tcW w:w="1218" w:type="dxa"/>
            <w:tcBorders>
              <w:top w:val="nil"/>
              <w:left w:val="nil"/>
              <w:bottom w:val="nil"/>
              <w:right w:val="nil"/>
            </w:tcBorders>
            <w:noWrap w:val="0"/>
            <w:vAlign w:val="top"/>
          </w:tcPr>
          <w:p w14:paraId="77DDE17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17.09</w:t>
            </w:r>
          </w:p>
        </w:tc>
        <w:tc>
          <w:tcPr>
            <w:tcW w:w="1218" w:type="dxa"/>
            <w:tcBorders>
              <w:top w:val="nil"/>
              <w:left w:val="nil"/>
              <w:bottom w:val="nil"/>
              <w:right w:val="nil"/>
            </w:tcBorders>
            <w:noWrap w:val="0"/>
            <w:vAlign w:val="top"/>
          </w:tcPr>
          <w:p w14:paraId="7D32370D">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18.28</w:t>
            </w:r>
          </w:p>
        </w:tc>
        <w:tc>
          <w:tcPr>
            <w:tcW w:w="1218" w:type="dxa"/>
            <w:tcBorders>
              <w:top w:val="nil"/>
              <w:left w:val="nil"/>
              <w:bottom w:val="nil"/>
              <w:right w:val="nil"/>
            </w:tcBorders>
            <w:noWrap w:val="0"/>
            <w:vAlign w:val="top"/>
          </w:tcPr>
          <w:p w14:paraId="574895F3">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16.10</w:t>
            </w:r>
          </w:p>
        </w:tc>
      </w:tr>
      <w:tr w14:paraId="3470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noWrap w:val="0"/>
            <w:vAlign w:val="top"/>
          </w:tcPr>
          <w:p w14:paraId="0ECF4786">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求和</w:t>
            </w:r>
          </w:p>
        </w:tc>
        <w:tc>
          <w:tcPr>
            <w:tcW w:w="1217" w:type="dxa"/>
            <w:tcBorders>
              <w:top w:val="nil"/>
              <w:left w:val="nil"/>
              <w:bottom w:val="nil"/>
              <w:right w:val="nil"/>
            </w:tcBorders>
            <w:noWrap w:val="0"/>
            <w:vAlign w:val="top"/>
          </w:tcPr>
          <w:p w14:paraId="5BF436EA">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2122</w:t>
            </w:r>
          </w:p>
        </w:tc>
        <w:tc>
          <w:tcPr>
            <w:tcW w:w="1217" w:type="dxa"/>
            <w:tcBorders>
              <w:top w:val="nil"/>
              <w:left w:val="nil"/>
              <w:bottom w:val="nil"/>
              <w:right w:val="nil"/>
            </w:tcBorders>
            <w:noWrap w:val="0"/>
            <w:vAlign w:val="top"/>
          </w:tcPr>
          <w:p w14:paraId="1FFD61EF">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2102</w:t>
            </w:r>
          </w:p>
        </w:tc>
        <w:tc>
          <w:tcPr>
            <w:tcW w:w="1217" w:type="dxa"/>
            <w:tcBorders>
              <w:top w:val="nil"/>
              <w:left w:val="nil"/>
              <w:bottom w:val="nil"/>
              <w:right w:val="nil"/>
            </w:tcBorders>
            <w:noWrap w:val="0"/>
            <w:vAlign w:val="top"/>
          </w:tcPr>
          <w:p w14:paraId="3A583DD0">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2263</w:t>
            </w:r>
          </w:p>
        </w:tc>
        <w:tc>
          <w:tcPr>
            <w:tcW w:w="1218" w:type="dxa"/>
            <w:tcBorders>
              <w:top w:val="nil"/>
              <w:left w:val="nil"/>
              <w:bottom w:val="nil"/>
              <w:right w:val="nil"/>
            </w:tcBorders>
            <w:noWrap w:val="0"/>
            <w:vAlign w:val="top"/>
          </w:tcPr>
          <w:p w14:paraId="41007C72">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2048</w:t>
            </w:r>
          </w:p>
        </w:tc>
        <w:tc>
          <w:tcPr>
            <w:tcW w:w="1218" w:type="dxa"/>
            <w:tcBorders>
              <w:top w:val="nil"/>
              <w:left w:val="nil"/>
              <w:bottom w:val="nil"/>
              <w:right w:val="nil"/>
            </w:tcBorders>
            <w:noWrap w:val="0"/>
            <w:vAlign w:val="top"/>
          </w:tcPr>
          <w:p w14:paraId="398E390B">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2642</w:t>
            </w:r>
          </w:p>
        </w:tc>
        <w:tc>
          <w:tcPr>
            <w:tcW w:w="1218" w:type="dxa"/>
            <w:tcBorders>
              <w:top w:val="nil"/>
              <w:left w:val="nil"/>
              <w:bottom w:val="nil"/>
              <w:right w:val="nil"/>
            </w:tcBorders>
            <w:noWrap w:val="0"/>
            <w:vAlign w:val="top"/>
          </w:tcPr>
          <w:p w14:paraId="553D8C9D">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2320</w:t>
            </w:r>
          </w:p>
        </w:tc>
      </w:tr>
      <w:tr w14:paraId="7295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right w:val="nil"/>
            </w:tcBorders>
            <w:noWrap w:val="0"/>
            <w:vAlign w:val="top"/>
          </w:tcPr>
          <w:p w14:paraId="4558F708">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观测数</w:t>
            </w:r>
          </w:p>
        </w:tc>
        <w:tc>
          <w:tcPr>
            <w:tcW w:w="1217" w:type="dxa"/>
            <w:tcBorders>
              <w:top w:val="nil"/>
              <w:left w:val="nil"/>
              <w:right w:val="nil"/>
            </w:tcBorders>
            <w:noWrap w:val="0"/>
            <w:vAlign w:val="top"/>
          </w:tcPr>
          <w:p w14:paraId="6CB2F567">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1217" w:type="dxa"/>
            <w:tcBorders>
              <w:top w:val="nil"/>
              <w:left w:val="nil"/>
              <w:right w:val="nil"/>
            </w:tcBorders>
            <w:noWrap w:val="0"/>
            <w:vAlign w:val="top"/>
          </w:tcPr>
          <w:p w14:paraId="0C99C956">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1217" w:type="dxa"/>
            <w:tcBorders>
              <w:top w:val="nil"/>
              <w:left w:val="nil"/>
              <w:right w:val="nil"/>
            </w:tcBorders>
            <w:noWrap w:val="0"/>
            <w:vAlign w:val="top"/>
          </w:tcPr>
          <w:p w14:paraId="317CA66F">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1218" w:type="dxa"/>
            <w:tcBorders>
              <w:top w:val="nil"/>
              <w:left w:val="nil"/>
              <w:right w:val="nil"/>
            </w:tcBorders>
            <w:noWrap w:val="0"/>
            <w:vAlign w:val="top"/>
          </w:tcPr>
          <w:p w14:paraId="3DC5E7AE">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1218" w:type="dxa"/>
            <w:tcBorders>
              <w:top w:val="nil"/>
              <w:left w:val="nil"/>
              <w:right w:val="nil"/>
            </w:tcBorders>
            <w:noWrap w:val="0"/>
            <w:vAlign w:val="top"/>
          </w:tcPr>
          <w:p w14:paraId="60C6BC42">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41</w:t>
            </w:r>
          </w:p>
        </w:tc>
        <w:tc>
          <w:tcPr>
            <w:tcW w:w="1218" w:type="dxa"/>
            <w:tcBorders>
              <w:top w:val="nil"/>
              <w:left w:val="nil"/>
              <w:right w:val="nil"/>
            </w:tcBorders>
            <w:noWrap w:val="0"/>
            <w:vAlign w:val="top"/>
          </w:tcPr>
          <w:p w14:paraId="2F673025">
            <w:pPr>
              <w:spacing w:line="360" w:lineRule="auto"/>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41</w:t>
            </w:r>
          </w:p>
        </w:tc>
      </w:tr>
    </w:tbl>
    <w:p w14:paraId="486FBF70">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从统计表中可以看出:在前测时，采取的是平行分班，在平均成绩、标准差、中位数等方面均无明显差异。中测是在进行两个多月的教学实验后，采取的是</w:t>
      </w:r>
      <w:r>
        <w:rPr>
          <w:rFonts w:hint="eastAsia" w:ascii="仿宋" w:hAnsi="仿宋" w:eastAsia="仿宋" w:cs="仿宋"/>
          <w:color w:val="auto"/>
          <w:sz w:val="24"/>
          <w:szCs w:val="24"/>
          <w:lang w:eastAsia="zh-CN"/>
        </w:rPr>
        <w:t>2020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2021</w:t>
      </w:r>
      <w:r>
        <w:rPr>
          <w:rFonts w:hint="eastAsia" w:ascii="仿宋" w:hAnsi="仿宋" w:eastAsia="仿宋" w:cs="仿宋"/>
          <w:color w:val="auto"/>
          <w:sz w:val="24"/>
          <w:szCs w:val="24"/>
        </w:rPr>
        <w:t>学年上半学期的期中考试成绩作为中测，采取的试卷</w:t>
      </w:r>
      <w:r>
        <w:rPr>
          <w:rFonts w:hint="eastAsia" w:ascii="仿宋" w:hAnsi="仿宋" w:eastAsia="仿宋" w:cs="仿宋"/>
          <w:color w:val="auto"/>
          <w:sz w:val="24"/>
          <w:szCs w:val="24"/>
          <w:lang w:eastAsia="zh-CN"/>
        </w:rPr>
        <w:t>学校</w:t>
      </w:r>
      <w:r>
        <w:rPr>
          <w:rFonts w:hint="eastAsia" w:ascii="仿宋" w:hAnsi="仿宋" w:eastAsia="仿宋" w:cs="仿宋"/>
          <w:color w:val="auto"/>
          <w:sz w:val="24"/>
          <w:szCs w:val="24"/>
        </w:rPr>
        <w:t>统一组织的统考试卷，实验班和对照班在平均分、中位数、众数方面存在一定的差距，但差距不明显。但后测在经历了五个多月的实验后,采用</w:t>
      </w:r>
      <w:r>
        <w:rPr>
          <w:rFonts w:hint="eastAsia" w:ascii="仿宋" w:hAnsi="仿宋" w:eastAsia="仿宋" w:cs="仿宋"/>
          <w:color w:val="auto"/>
          <w:sz w:val="24"/>
          <w:szCs w:val="24"/>
          <w:lang w:eastAsia="zh-CN"/>
        </w:rPr>
        <w:t>学校</w:t>
      </w:r>
      <w:r>
        <w:rPr>
          <w:rFonts w:hint="eastAsia" w:ascii="仿宋" w:hAnsi="仿宋" w:eastAsia="仿宋" w:cs="仿宋"/>
          <w:color w:val="auto"/>
          <w:sz w:val="24"/>
          <w:szCs w:val="24"/>
        </w:rPr>
        <w:t>统一组织的期末考试试卷，成绩作为后测成绩，差距明显扩大，实验班的整体成绩明显好于对照班，中上等学生的成绩进步较大，学困生的成绩也有一定程度的提高，这说明</w:t>
      </w:r>
      <w:r>
        <w:rPr>
          <w:rFonts w:hint="eastAsia" w:ascii="仿宋" w:hAnsi="仿宋" w:eastAsia="仿宋" w:cs="仿宋"/>
          <w:color w:val="auto"/>
          <w:sz w:val="24"/>
          <w:szCs w:val="24"/>
          <w:lang w:eastAsia="zh-CN"/>
        </w:rPr>
        <w:t>教学模式创新</w:t>
      </w:r>
      <w:r>
        <w:rPr>
          <w:rFonts w:hint="eastAsia" w:ascii="仿宋" w:hAnsi="仿宋" w:eastAsia="仿宋" w:cs="仿宋"/>
          <w:color w:val="auto"/>
          <w:sz w:val="24"/>
          <w:szCs w:val="24"/>
        </w:rPr>
        <w:t>的策略对</w:t>
      </w:r>
      <w:r>
        <w:rPr>
          <w:rFonts w:hint="eastAsia" w:ascii="仿宋" w:hAnsi="仿宋" w:eastAsia="仿宋" w:cs="仿宋"/>
          <w:color w:val="auto"/>
          <w:sz w:val="24"/>
          <w:szCs w:val="24"/>
          <w:lang w:eastAsia="zh-CN"/>
        </w:rPr>
        <w:t>高中生</w:t>
      </w:r>
      <w:r>
        <w:rPr>
          <w:rFonts w:hint="eastAsia" w:ascii="仿宋" w:hAnsi="仿宋" w:eastAsia="仿宋" w:cs="仿宋"/>
          <w:color w:val="auto"/>
          <w:sz w:val="24"/>
          <w:szCs w:val="24"/>
        </w:rPr>
        <w:t>的教学有一定的有效促进作用。</w:t>
      </w:r>
    </w:p>
    <w:p w14:paraId="7E427A66">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分析和讨论</w:t>
      </w:r>
    </w:p>
    <w:p w14:paraId="25580A45">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通过一个学期的教学实践，采取</w:t>
      </w:r>
      <w:r>
        <w:rPr>
          <w:rFonts w:hint="eastAsia" w:ascii="仿宋" w:hAnsi="仿宋" w:eastAsia="仿宋" w:cs="仿宋"/>
          <w:color w:val="auto"/>
          <w:sz w:val="24"/>
          <w:szCs w:val="24"/>
          <w:lang w:eastAsia="zh-CN"/>
        </w:rPr>
        <w:t>教学模式创新</w:t>
      </w:r>
      <w:r>
        <w:rPr>
          <w:rFonts w:hint="eastAsia" w:ascii="仿宋" w:hAnsi="仿宋" w:eastAsia="仿宋" w:cs="仿宋"/>
          <w:color w:val="auto"/>
          <w:sz w:val="24"/>
          <w:szCs w:val="24"/>
        </w:rPr>
        <w:t>的班级在很多方面都要优于才用传统的教学模式的班级。主要在以下方面有显著的差异:</w:t>
      </w:r>
    </w:p>
    <w:p w14:paraId="7AB81C68">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学习状态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据其他同时教两个班级的任课教师反应，实验班的学生学习状态非常好。学习积极性高，遇到困难不退缩，积极寻求解决问题的办法，同学之间经常交流学习方法，课堂上能有效的配合教师的教学，勤学好问己经形成了这个班的风气。学生明显表现出爱学习，乐学习，自觉自必的学习。</w:t>
      </w:r>
      <w:r>
        <w:rPr>
          <w:rFonts w:hint="eastAsia" w:ascii="仿宋" w:hAnsi="仿宋" w:eastAsia="仿宋" w:cs="仿宋"/>
          <w:color w:val="auto"/>
          <w:sz w:val="24"/>
          <w:szCs w:val="24"/>
          <w:lang w:val="en-US" w:eastAsia="zh-CN"/>
        </w:rPr>
        <w:t>课程</w:t>
      </w:r>
      <w:r>
        <w:rPr>
          <w:rFonts w:hint="eastAsia" w:ascii="仿宋" w:hAnsi="仿宋" w:eastAsia="仿宋" w:cs="仿宋"/>
          <w:color w:val="auto"/>
          <w:sz w:val="24"/>
          <w:szCs w:val="24"/>
        </w:rPr>
        <w:t>设计打破了传统的教学思路，通过创设问题情景，设置矛盾冲突，不断激发学生学习的需求，引导学生深入思考，逐步探索。至此，学生在探索和创造中完成了对工具的探索，较好地把握了</w:t>
      </w:r>
      <w:r>
        <w:rPr>
          <w:rFonts w:hint="eastAsia" w:ascii="仿宋" w:hAnsi="仿宋" w:eastAsia="仿宋" w:cs="仿宋"/>
          <w:color w:val="auto"/>
          <w:sz w:val="24"/>
          <w:szCs w:val="24"/>
          <w:lang w:val="en-US" w:eastAsia="zh-CN"/>
        </w:rPr>
        <w:t>字习</w:t>
      </w:r>
      <w:r>
        <w:rPr>
          <w:rFonts w:hint="eastAsia" w:ascii="仿宋" w:hAnsi="仿宋" w:eastAsia="仿宋" w:cs="仿宋"/>
          <w:color w:val="auto"/>
          <w:sz w:val="24"/>
          <w:szCs w:val="24"/>
        </w:rPr>
        <w:t>的本质特征。学生在探索中不断生成问题，又不断地解决问题，培养了学生的问题意识和创新能力多方面的品质得到培养，并积累了丰富的活动经验。</w:t>
      </w:r>
    </w:p>
    <w:p w14:paraId="0C1D4201">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动手能力强,勇于创新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在共他学科和生活上,实验班的学生明显表现出愿意主动尝试的意愿,动手能力强。并且在课堂上勇于提出不同的见解,有些时候令任课教师也大吃一惊,有利于自主课堂，</w:t>
      </w:r>
      <w:r>
        <w:rPr>
          <w:rFonts w:hint="eastAsia" w:ascii="仿宋" w:hAnsi="仿宋" w:eastAsia="仿宋" w:cs="仿宋"/>
          <w:color w:val="auto"/>
          <w:sz w:val="24"/>
          <w:szCs w:val="24"/>
          <w:lang w:val="en-US" w:eastAsia="zh-CN"/>
        </w:rPr>
        <w:t>优秀</w:t>
      </w:r>
      <w:r>
        <w:rPr>
          <w:rFonts w:hint="eastAsia" w:ascii="仿宋" w:hAnsi="仿宋" w:eastAsia="仿宋" w:cs="仿宋"/>
          <w:color w:val="auto"/>
          <w:sz w:val="24"/>
          <w:szCs w:val="24"/>
        </w:rPr>
        <w:t>教学设计的生成。勇于创新，敢于探索是实验班不同于对照班另一大特色。</w:t>
      </w:r>
    </w:p>
    <w:p w14:paraId="3ED990E4">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测试成绩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通过一个学期的教学实践，实验班的学生成绩明显优于对照班。总结其原因。主要有以下方面:采用</w:t>
      </w:r>
      <w:r>
        <w:rPr>
          <w:rFonts w:hint="eastAsia" w:ascii="仿宋" w:hAnsi="仿宋" w:eastAsia="仿宋" w:cs="仿宋"/>
          <w:color w:val="auto"/>
          <w:sz w:val="24"/>
          <w:szCs w:val="24"/>
          <w:lang w:eastAsia="zh-CN"/>
        </w:rPr>
        <w:t>教学模式创新</w:t>
      </w:r>
      <w:r>
        <w:rPr>
          <w:rFonts w:hint="eastAsia" w:ascii="仿宋" w:hAnsi="仿宋" w:eastAsia="仿宋" w:cs="仿宋"/>
          <w:color w:val="auto"/>
          <w:sz w:val="24"/>
          <w:szCs w:val="24"/>
        </w:rPr>
        <w:t>，教师变成了领路人，学生能主动的去探索去求知，学生的自信心有了很大提高，主体地位得到了充分的发挥。学生能积极寻找正确的归因，努力程度提高，自我效应感高。教师放手，导课新颖，设计中敢于创新，在一定程度上有利于高效课堂的生成。这都为以后学生学会生活，学会做人，学会学习打下了良好的基础。</w:t>
      </w:r>
    </w:p>
    <w:p w14:paraId="67B59B02">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建议（一是针对自身研究的缺陷，提出需要改进的事项；二是根据研究结论获得的启示）</w:t>
      </w:r>
    </w:p>
    <w:p w14:paraId="5974BF0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根据研究结论获得的启示</w:t>
      </w:r>
    </w:p>
    <w:p w14:paraId="4E77CCC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（1）深研细究，优化课后作业设计</w:t>
      </w:r>
    </w:p>
    <w:p w14:paraId="39ED99D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0"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教师要聚焦“双减”，深度研究作业设计，加新课程观，加育人智慧，加耐心、精心、细心，以设计、布置更恰当的作业，提高作业质量。布置作业要做到科学、合理、优化。备课组内要共同商讨，做充分的学情分析与调研，克服传统的机械、重复、惩罚性作业。注重作业的趣味性和实践性，设计学生喜欢且富有挑战性又能覆盖知识点的作业，总结经典常规试题，减轻学生作业负担。</w:t>
      </w:r>
    </w:p>
    <w:p w14:paraId="34B9D72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（2）着力构建高效课堂</w:t>
      </w:r>
    </w:p>
    <w:p w14:paraId="3D97A7B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0"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教师要不断更新教育观念，集思广益，从课前预设到课堂训练内容，从情境创设到问题设计，课堂的每一个环节都要细心研讨准备，大胆创新设置，做到精益求精。唯有如此，才能做到“双减”政策下减数量不减质量。</w:t>
      </w:r>
    </w:p>
    <w:p w14:paraId="026B29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（3）完善教学评价体系</w:t>
      </w:r>
    </w:p>
    <w:p w14:paraId="3DD5355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0" w:firstLineChars="20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开展高中教学工作时，教师在对教育教学活动进行改良的过程中应及时做好对于教学方法应用效果的分析与解读，以便及时结合学生群体实际情况对于我国高中教学方法进行科学改良，继而促进教育教学工作组织形式的合理优化与改进。良好的教学评价与反思可以帮助教育工作者正确审视高中阶段教学工作的落实情况以及学生对于知识的掌握水平，其有利于帮助教育工作者对后续教学工作模式进行科学调整。</w:t>
      </w:r>
    </w:p>
    <w:p w14:paraId="5E89FEA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针对自身研究的缺陷，提出需要改进的事项</w:t>
      </w:r>
    </w:p>
    <w:p w14:paraId="45DC9FA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0" w:firstLineChars="200"/>
        <w:jc w:val="both"/>
        <w:rPr>
          <w:rFonts w:hint="eastAsia" w:ascii="仿宋" w:hAnsi="仿宋" w:eastAsia="仿宋" w:cs="仿宋"/>
          <w:color w:val="auto"/>
          <w:kern w:val="0"/>
          <w:sz w:val="24"/>
          <w:szCs w:val="24"/>
          <w:lang w:val="en-US" w:eastAsia="zh-CN" w:bidi="ar"/>
        </w:rPr>
      </w:pPr>
      <w:r>
        <w:rPr>
          <w:rFonts w:hint="eastAsia" w:ascii="仿宋" w:hAnsi="仿宋" w:eastAsia="仿宋" w:cs="仿宋"/>
          <w:b w:val="0"/>
          <w:bCs w:val="0"/>
          <w:color w:val="auto"/>
          <w:sz w:val="24"/>
          <w:szCs w:val="24"/>
          <w:lang w:val="en-US" w:eastAsia="zh-CN"/>
        </w:rPr>
        <w:t>（1）</w:t>
      </w:r>
      <w:r>
        <w:rPr>
          <w:rStyle w:val="10"/>
          <w:rFonts w:hint="eastAsia" w:ascii="仿宋" w:hAnsi="仿宋" w:eastAsia="仿宋" w:cs="仿宋"/>
          <w:b w:val="0"/>
          <w:bCs w:val="0"/>
          <w:i w:val="0"/>
          <w:iCs w:val="0"/>
          <w:caps w:val="0"/>
          <w:color w:val="auto"/>
          <w:spacing w:val="0"/>
          <w:sz w:val="24"/>
          <w:szCs w:val="24"/>
        </w:rPr>
        <w:t>有必要重点加强课题实证与调查评价研究</w:t>
      </w:r>
      <w:r>
        <w:rPr>
          <w:rStyle w:val="10"/>
          <w:rFonts w:hint="eastAsia" w:ascii="仿宋" w:hAnsi="仿宋" w:eastAsia="仿宋" w:cs="仿宋"/>
          <w:b w:val="0"/>
          <w:bCs w:val="0"/>
          <w:i w:val="0"/>
          <w:iCs w:val="0"/>
          <w:caps w:val="0"/>
          <w:color w:val="auto"/>
          <w:spacing w:val="0"/>
          <w:sz w:val="24"/>
          <w:szCs w:val="24"/>
          <w:lang w:eastAsia="zh-CN"/>
        </w:rPr>
        <w:t>。</w:t>
      </w:r>
      <w:r>
        <w:rPr>
          <w:rStyle w:val="10"/>
          <w:rFonts w:hint="eastAsia" w:ascii="仿宋" w:hAnsi="仿宋" w:eastAsia="仿宋" w:cs="仿宋"/>
          <w:b w:val="0"/>
          <w:bCs w:val="0"/>
          <w:i w:val="0"/>
          <w:iCs w:val="0"/>
          <w:caps w:val="0"/>
          <w:color w:val="auto"/>
          <w:spacing w:val="0"/>
          <w:sz w:val="24"/>
          <w:szCs w:val="24"/>
        </w:rPr>
        <w:t>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14:paraId="58FA637A">
      <w:pPr>
        <w:keepNext w:val="0"/>
        <w:keepLines w:val="0"/>
        <w:widowControl/>
        <w:suppressLineNumbers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b w:val="0"/>
          <w:bCs w:val="0"/>
          <w:color w:val="auto"/>
          <w:kern w:val="0"/>
          <w:sz w:val="24"/>
          <w:szCs w:val="24"/>
          <w:lang w:val="en-US" w:eastAsia="zh-CN" w:bidi="ar"/>
        </w:rPr>
        <w:t>（2）继续认真学习相关的理论知识。</w:t>
      </w:r>
      <w:r>
        <w:rPr>
          <w:rFonts w:hint="eastAsia" w:ascii="仿宋" w:hAnsi="仿宋" w:eastAsia="仿宋" w:cs="仿宋"/>
          <w:color w:val="auto"/>
          <w:kern w:val="0"/>
          <w:sz w:val="24"/>
          <w:szCs w:val="24"/>
          <w:lang w:val="en-US" w:eastAsia="zh-CN" w:bidi="ar"/>
        </w:rPr>
        <w:t>整理和本课题有关的文献资料,查看有关的各类信息内容与教材内容,剖析研究的情况及其存在的不足,结合国内外相关教育研究的概述与现状,开展一系列的调查、分析、查询国内外相关研究综述,整理分析,收集理论依据,然后制定合理的研究计划与研究方法。</w:t>
      </w:r>
    </w:p>
    <w:p w14:paraId="7D280A42">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（3）加强实践探究活动。</w:t>
      </w:r>
      <w:r>
        <w:rPr>
          <w:rFonts w:hint="eastAsia" w:ascii="仿宋" w:hAnsi="仿宋" w:eastAsia="仿宋" w:cs="仿宋"/>
          <w:color w:val="auto"/>
          <w:sz w:val="24"/>
          <w:szCs w:val="24"/>
          <w:lang w:val="en-US" w:eastAsia="zh-CN"/>
        </w:rPr>
        <w:t>通过实践教学,找到适合的、方法及策略,以此来达到研究、探索的目的,并根据活动效果来进行一定的调整,并及时向上级汇报,在研讨中提炼升华、总结经验。</w:t>
      </w:r>
      <w:r>
        <w:rPr>
          <w:rFonts w:hint="eastAsia" w:ascii="仿宋" w:hAnsi="仿宋" w:eastAsia="仿宋" w:cs="仿宋"/>
          <w:color w:val="auto"/>
          <w:sz w:val="24"/>
          <w:szCs w:val="24"/>
        </w:rPr>
        <w:t>探究</w:t>
      </w:r>
      <w:r>
        <w:rPr>
          <w:rFonts w:hint="eastAsia" w:ascii="仿宋" w:hAnsi="仿宋" w:eastAsia="仿宋" w:cs="仿宋"/>
          <w:color w:val="auto"/>
          <w:sz w:val="24"/>
          <w:szCs w:val="24"/>
          <w:lang w:val="en-US" w:eastAsia="zh-CN"/>
        </w:rPr>
        <w:t>县域高中教学</w:t>
      </w:r>
      <w:r>
        <w:rPr>
          <w:rFonts w:hint="eastAsia" w:ascii="仿宋" w:hAnsi="仿宋" w:eastAsia="仿宋" w:cs="仿宋"/>
          <w:color w:val="auto"/>
          <w:sz w:val="24"/>
          <w:szCs w:val="24"/>
        </w:rPr>
        <w:t>存在的问题，通过研究、实践提高</w:t>
      </w:r>
      <w:r>
        <w:rPr>
          <w:rFonts w:hint="eastAsia" w:ascii="仿宋" w:hAnsi="仿宋" w:eastAsia="仿宋" w:cs="仿宋"/>
          <w:color w:val="auto"/>
          <w:sz w:val="24"/>
          <w:szCs w:val="24"/>
          <w:lang w:val="en-US" w:eastAsia="zh-CN"/>
        </w:rPr>
        <w:t>教师的</w:t>
      </w:r>
      <w:r>
        <w:rPr>
          <w:rFonts w:hint="eastAsia" w:ascii="仿宋" w:hAnsi="仿宋" w:eastAsia="仿宋" w:cs="仿宋"/>
          <w:color w:val="auto"/>
          <w:sz w:val="24"/>
          <w:szCs w:val="24"/>
        </w:rPr>
        <w:t>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丰富</w:t>
      </w:r>
      <w:r>
        <w:rPr>
          <w:rFonts w:hint="eastAsia" w:ascii="仿宋" w:hAnsi="仿宋" w:eastAsia="仿宋" w:cs="仿宋"/>
          <w:color w:val="auto"/>
          <w:sz w:val="24"/>
          <w:szCs w:val="24"/>
          <w:lang w:val="en-US" w:eastAsia="zh-CN"/>
        </w:rPr>
        <w:t>课堂开展</w:t>
      </w:r>
      <w:r>
        <w:rPr>
          <w:rFonts w:hint="eastAsia" w:ascii="仿宋" w:hAnsi="仿宋" w:eastAsia="仿宋" w:cs="仿宋"/>
          <w:color w:val="auto"/>
          <w:sz w:val="24"/>
          <w:szCs w:val="24"/>
        </w:rPr>
        <w:t>模式，通过集体分享和分析案例，研究适合</w:t>
      </w:r>
      <w:r>
        <w:rPr>
          <w:rFonts w:hint="eastAsia" w:ascii="仿宋" w:hAnsi="仿宋" w:eastAsia="仿宋" w:cs="仿宋"/>
          <w:color w:val="auto"/>
          <w:sz w:val="24"/>
          <w:szCs w:val="24"/>
          <w:lang w:val="en-US" w:eastAsia="zh-CN"/>
        </w:rPr>
        <w:t>于县域高中教学质量提升</w:t>
      </w:r>
      <w:r>
        <w:rPr>
          <w:rFonts w:hint="eastAsia" w:ascii="仿宋" w:hAnsi="仿宋" w:eastAsia="仿宋" w:cs="仿宋"/>
          <w:color w:val="auto"/>
          <w:sz w:val="24"/>
          <w:szCs w:val="24"/>
        </w:rPr>
        <w:t>的方式和方法。</w:t>
      </w:r>
    </w:p>
    <w:p w14:paraId="17ABB20F">
      <w:pPr>
        <w:spacing w:line="360" w:lineRule="auto"/>
        <w:ind w:firstLine="480" w:firstLineChars="200"/>
        <w:jc w:val="both"/>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多做些调查研究，争取多出一些有质量的论文。</w:t>
      </w:r>
      <w:r>
        <w:rPr>
          <w:rFonts w:hint="eastAsia" w:ascii="仿宋" w:hAnsi="仿宋" w:eastAsia="仿宋" w:cs="仿宋"/>
          <w:b w:val="0"/>
          <w:bCs/>
          <w:color w:val="auto"/>
          <w:sz w:val="24"/>
          <w:szCs w:val="24"/>
        </w:rPr>
        <w:t>进一步丰富、积累研究性学习课例，多出精品课例，做好理论分析，力求出思想、出成果。</w:t>
      </w:r>
      <w:r>
        <w:rPr>
          <w:rFonts w:hint="eastAsia" w:ascii="仿宋" w:hAnsi="仿宋" w:eastAsia="仿宋" w:cs="仿宋"/>
          <w:color w:val="auto"/>
          <w:sz w:val="24"/>
          <w:szCs w:val="24"/>
          <w:shd w:val="clear" w:color="auto" w:fill="auto"/>
          <w:lang w:val="en-US" w:eastAsia="zh-CN"/>
        </w:rPr>
        <w:t>进行</w:t>
      </w:r>
      <w:r>
        <w:rPr>
          <w:rFonts w:hint="eastAsia" w:ascii="仿宋" w:hAnsi="仿宋" w:eastAsia="仿宋" w:cs="仿宋"/>
          <w:color w:val="auto"/>
          <w:sz w:val="24"/>
          <w:szCs w:val="24"/>
          <w:shd w:val="clear" w:color="auto" w:fill="auto"/>
        </w:rPr>
        <w:t>经验交流</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进行</w:t>
      </w:r>
      <w:r>
        <w:rPr>
          <w:rFonts w:hint="eastAsia" w:ascii="仿宋" w:hAnsi="仿宋" w:eastAsia="仿宋" w:cs="仿宋"/>
          <w:color w:val="auto"/>
          <w:sz w:val="24"/>
          <w:szCs w:val="24"/>
          <w:shd w:val="clear" w:color="auto" w:fill="auto"/>
        </w:rPr>
        <w:t>有关的材料研究，整理全部实践活动研究的步骤，并梳理出有关的规律，改善课题研究存在的问题。</w:t>
      </w:r>
    </w:p>
    <w:p w14:paraId="1637D624">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p>
    <w:p w14:paraId="69C3B389">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三、主要成果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1780"/>
        <w:gridCol w:w="3714"/>
        <w:gridCol w:w="1270"/>
        <w:gridCol w:w="1369"/>
      </w:tblGrid>
      <w:tr w14:paraId="1089A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3AA52BBE">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80" w:type="dxa"/>
            <w:noWrap w:val="0"/>
            <w:vAlign w:val="center"/>
          </w:tcPr>
          <w:p w14:paraId="646CA718">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完成时间</w:t>
            </w:r>
          </w:p>
        </w:tc>
        <w:tc>
          <w:tcPr>
            <w:tcW w:w="3714" w:type="dxa"/>
            <w:noWrap w:val="0"/>
            <w:vAlign w:val="center"/>
          </w:tcPr>
          <w:p w14:paraId="33FC6E72">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最  终  成  果  名  称</w:t>
            </w:r>
          </w:p>
        </w:tc>
        <w:tc>
          <w:tcPr>
            <w:tcW w:w="1270" w:type="dxa"/>
            <w:noWrap w:val="0"/>
            <w:vAlign w:val="center"/>
          </w:tcPr>
          <w:p w14:paraId="5A2C90FC">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成果形式</w:t>
            </w:r>
          </w:p>
        </w:tc>
        <w:tc>
          <w:tcPr>
            <w:tcW w:w="1369" w:type="dxa"/>
            <w:noWrap w:val="0"/>
            <w:vAlign w:val="center"/>
          </w:tcPr>
          <w:p w14:paraId="794398EE">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负 责 人</w:t>
            </w:r>
          </w:p>
        </w:tc>
      </w:tr>
      <w:tr w14:paraId="74A26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388B63A2">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80" w:type="dxa"/>
            <w:noWrap w:val="0"/>
            <w:vAlign w:val="center"/>
          </w:tcPr>
          <w:p w14:paraId="0FC2964A">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2022.03-2022.05</w:t>
            </w:r>
          </w:p>
        </w:tc>
        <w:tc>
          <w:tcPr>
            <w:tcW w:w="3714" w:type="dxa"/>
            <w:noWrap w:val="0"/>
            <w:vAlign w:val="center"/>
          </w:tcPr>
          <w:p w14:paraId="6A897C0D">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双减背景下县域高中教学质量提升</w:t>
            </w:r>
            <w:r>
              <w:rPr>
                <w:rFonts w:hint="eastAsia" w:ascii="仿宋" w:hAnsi="仿宋" w:eastAsia="仿宋" w:cs="仿宋"/>
                <w:color w:val="auto"/>
                <w:sz w:val="24"/>
                <w:szCs w:val="24"/>
                <w:lang w:val="en-US" w:eastAsia="zh-CN"/>
              </w:rPr>
              <w:t>研究报告</w:t>
            </w:r>
          </w:p>
        </w:tc>
        <w:tc>
          <w:tcPr>
            <w:tcW w:w="1270" w:type="dxa"/>
            <w:noWrap w:val="0"/>
            <w:vAlign w:val="center"/>
          </w:tcPr>
          <w:p w14:paraId="46B6A158">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研究报告</w:t>
            </w:r>
          </w:p>
        </w:tc>
        <w:tc>
          <w:tcPr>
            <w:tcW w:w="1369" w:type="dxa"/>
            <w:noWrap w:val="0"/>
            <w:vAlign w:val="center"/>
          </w:tcPr>
          <w:p w14:paraId="23449F16">
            <w:pPr>
              <w:spacing w:line="360" w:lineRule="auto"/>
              <w:jc w:val="both"/>
              <w:rPr>
                <w:rFonts w:hint="eastAsia" w:ascii="仿宋" w:hAnsi="仿宋" w:eastAsia="仿宋" w:cs="仿宋"/>
                <w:color w:val="auto"/>
                <w:sz w:val="24"/>
                <w:szCs w:val="24"/>
              </w:rPr>
            </w:pPr>
          </w:p>
        </w:tc>
      </w:tr>
      <w:tr w14:paraId="050D5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14:paraId="74118F0E">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80" w:type="dxa"/>
            <w:noWrap w:val="0"/>
            <w:vAlign w:val="center"/>
          </w:tcPr>
          <w:p w14:paraId="4857C134">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2022.05-2022.12</w:t>
            </w:r>
          </w:p>
        </w:tc>
        <w:tc>
          <w:tcPr>
            <w:tcW w:w="3714" w:type="dxa"/>
            <w:noWrap w:val="0"/>
            <w:vAlign w:val="center"/>
          </w:tcPr>
          <w:p w14:paraId="797899E4">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双减背景下县域高中教学质量提升</w:t>
            </w:r>
            <w:r>
              <w:rPr>
                <w:rFonts w:hint="eastAsia" w:ascii="仿宋" w:hAnsi="仿宋" w:eastAsia="仿宋" w:cs="仿宋"/>
                <w:color w:val="auto"/>
                <w:sz w:val="24"/>
                <w:szCs w:val="24"/>
                <w:lang w:val="en-US" w:eastAsia="zh-CN"/>
              </w:rPr>
              <w:t>案例研究</w:t>
            </w:r>
          </w:p>
        </w:tc>
        <w:tc>
          <w:tcPr>
            <w:tcW w:w="1270" w:type="dxa"/>
            <w:noWrap w:val="0"/>
            <w:vAlign w:val="center"/>
          </w:tcPr>
          <w:p w14:paraId="790E4119">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案例研究</w:t>
            </w:r>
          </w:p>
        </w:tc>
        <w:tc>
          <w:tcPr>
            <w:tcW w:w="1369" w:type="dxa"/>
            <w:noWrap w:val="0"/>
            <w:vAlign w:val="center"/>
          </w:tcPr>
          <w:p w14:paraId="70296089">
            <w:pPr>
              <w:spacing w:line="360" w:lineRule="auto"/>
              <w:jc w:val="both"/>
              <w:rPr>
                <w:rFonts w:hint="eastAsia" w:ascii="仿宋" w:hAnsi="仿宋" w:eastAsia="仿宋" w:cs="仿宋"/>
                <w:color w:val="auto"/>
                <w:sz w:val="24"/>
                <w:szCs w:val="24"/>
              </w:rPr>
            </w:pPr>
          </w:p>
        </w:tc>
      </w:tr>
      <w:tr w14:paraId="42F3A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564" w:type="dxa"/>
            <w:tcBorders>
              <w:bottom w:val="single" w:color="auto" w:sz="12" w:space="0"/>
            </w:tcBorders>
            <w:noWrap w:val="0"/>
            <w:vAlign w:val="center"/>
          </w:tcPr>
          <w:p w14:paraId="5B3FA988">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80" w:type="dxa"/>
            <w:tcBorders>
              <w:bottom w:val="single" w:color="auto" w:sz="12" w:space="0"/>
            </w:tcBorders>
            <w:noWrap w:val="0"/>
            <w:vAlign w:val="center"/>
          </w:tcPr>
          <w:p w14:paraId="28FFDF2F">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2022.12-2023.05</w:t>
            </w:r>
          </w:p>
        </w:tc>
        <w:tc>
          <w:tcPr>
            <w:tcW w:w="3714" w:type="dxa"/>
            <w:tcBorders>
              <w:bottom w:val="single" w:color="auto" w:sz="12" w:space="0"/>
            </w:tcBorders>
            <w:noWrap w:val="0"/>
            <w:vAlign w:val="center"/>
          </w:tcPr>
          <w:p w14:paraId="4E5E09D2">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双减背景下县域高中教学质量提升</w:t>
            </w:r>
            <w:r>
              <w:rPr>
                <w:rFonts w:hint="eastAsia" w:ascii="仿宋" w:hAnsi="仿宋" w:eastAsia="仿宋" w:cs="仿宋"/>
                <w:color w:val="auto"/>
                <w:sz w:val="24"/>
                <w:szCs w:val="24"/>
                <w:lang w:val="en-US" w:eastAsia="zh-CN"/>
              </w:rPr>
              <w:t>分析</w:t>
            </w:r>
          </w:p>
        </w:tc>
        <w:tc>
          <w:tcPr>
            <w:tcW w:w="1270" w:type="dxa"/>
            <w:tcBorders>
              <w:bottom w:val="single" w:color="auto" w:sz="12" w:space="0"/>
            </w:tcBorders>
            <w:noWrap w:val="0"/>
            <w:vAlign w:val="center"/>
          </w:tcPr>
          <w:p w14:paraId="3D5E3D87">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期刊</w:t>
            </w:r>
          </w:p>
        </w:tc>
        <w:tc>
          <w:tcPr>
            <w:tcW w:w="1369" w:type="dxa"/>
            <w:tcBorders>
              <w:bottom w:val="single" w:color="auto" w:sz="12" w:space="0"/>
            </w:tcBorders>
            <w:noWrap w:val="0"/>
            <w:vAlign w:val="center"/>
          </w:tcPr>
          <w:p w14:paraId="51F5C2A3">
            <w:pPr>
              <w:spacing w:line="360" w:lineRule="auto"/>
              <w:jc w:val="both"/>
              <w:rPr>
                <w:rFonts w:hint="eastAsia" w:ascii="仿宋" w:hAnsi="仿宋" w:eastAsia="仿宋" w:cs="仿宋"/>
                <w:color w:val="auto"/>
                <w:sz w:val="24"/>
                <w:szCs w:val="24"/>
              </w:rPr>
            </w:pPr>
          </w:p>
        </w:tc>
      </w:tr>
    </w:tbl>
    <w:p w14:paraId="59E25B66">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lang w:eastAsia="zh-CN"/>
        </w:rPr>
      </w:pPr>
    </w:p>
    <w:p w14:paraId="03C2CE9C">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四、参考文献</w:t>
      </w:r>
    </w:p>
    <w:p w14:paraId="7718BCA9">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[1]Durgaprasadarao P.,Siddaiah N.. Group teaching optimization with improved Chan-Taylor algorithm for 3D indoor localization[J]. Microprocessors and Microsystems,2023,98.</w:t>
      </w:r>
    </w:p>
    <w:p w14:paraId="0FE315A5">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[2]Runge Isabell,Lazarides Rebecca,Rubach Charlott,Richter Dirk,Scheiter Katharina. Teacher-reported instructional quality in the context of technology-enhanced teaching: The role of teachers’ digital competence-related beliefs in empowering learners[J]. Computers &amp; Education,2023,198.</w:t>
      </w:r>
    </w:p>
    <w:p w14:paraId="28D3015B">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[3]徐丹.“双减”背景下基于文化意识培养的高中英语语篇教学探究[J].中国教师,2023(02):69-71.</w:t>
      </w:r>
    </w:p>
    <w:p w14:paraId="3DEA3761">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[4]孙文华,徐强强.基于“双减”政策视角的高考地理试题解析——以2022年高考地理乙卷试题为例[J].地理教育,2023(02):41-45.</w:t>
      </w:r>
    </w:p>
    <w:p w14:paraId="545BC541">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[5]王勇钢. “双减”背景下高中化学提质增效的措施探究[C]//.2023年教育理论与实践科研学术研究论坛论文集（一）.,2023:125-127.</w:t>
      </w:r>
    </w:p>
    <w:p w14:paraId="3555D8D2">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[6]冯艳.“双减”背景下高中政治教学创新的思考[J].试题与研究,2023(02):16-18.</w:t>
      </w:r>
    </w:p>
    <w:p w14:paraId="4A17A923">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[7]施惠.“双减”政策下高中数学教学模式改革路径[J].新教育,2023(05):4-5+9.</w:t>
      </w:r>
    </w:p>
    <w:p w14:paraId="2D714811">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[8]程和平.激趣：“双减”政策下高中地理教学的有效手段[J].安徽教育科研,2022(33):44-46.</w:t>
      </w:r>
    </w:p>
    <w:p w14:paraId="3E91C313">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[9]桑学子.强化主体参与，实施“减负”教学——“双减”背景下高中生物课堂减负增效具体策略研讨[J].知识文库,2022(22):184-186.</w:t>
      </w:r>
    </w:p>
    <w:p w14:paraId="1C99EAA3">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[10]单朝锐,范曾丽.“双减”背景下形成性评价在高中生物教学中的强化对策[J].科学咨询(科技·管理),2022(11):208-210.</w:t>
      </w:r>
    </w:p>
    <w:p w14:paraId="3A9E843A">
      <w:pPr>
        <w:pStyle w:val="2"/>
        <w:rPr>
          <w:rFonts w:hint="eastAsia" w:eastAsia="仿宋"/>
          <w:lang w:eastAsia="zh-CN"/>
        </w:rPr>
      </w:pPr>
      <w:bookmarkStart w:id="0" w:name="_GoBack"/>
      <w:r>
        <w:rPr>
          <w:rFonts w:hint="eastAsia" w:eastAsia="仿宋"/>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79D65032"/>
    <w:rsid w:val="061B2F96"/>
    <w:rsid w:val="30A752A2"/>
    <w:rsid w:val="3429492F"/>
    <w:rsid w:val="35EF2AF6"/>
    <w:rsid w:val="49214E2D"/>
    <w:rsid w:val="5E75785C"/>
    <w:rsid w:val="5F3A35AD"/>
    <w:rsid w:val="79D65032"/>
    <w:rsid w:val="7CA3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rFonts w:ascii="Calibri" w:hAnsi="Calibri" w:eastAsia="黑体" w:cs="宋体"/>
      <w:kern w:val="44"/>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Body Text"/>
    <w:basedOn w:val="1"/>
    <w:qFormat/>
    <w:uiPriority w:val="0"/>
    <w:pPr>
      <w:adjustRightInd w:val="0"/>
      <w:jc w:val="left"/>
      <w:textAlignment w:val="baseline"/>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4"/>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2926</Words>
  <Characters>2994</Characters>
  <Lines>0</Lines>
  <Paragraphs>0</Paragraphs>
  <TotalTime>35</TotalTime>
  <ScaleCrop>false</ScaleCrop>
  <LinksUpToDate>false</LinksUpToDate>
  <CharactersWithSpaces>2999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2023-03-05T15:48:00Z</dcterms:created>
  <dc:creator>MMMKLII</dc:creator>
  <cp:lastModifiedBy>老根</cp:lastModifiedBy>
  <dcterms:modified xsi:type="dcterms:W3CDTF">2024-10-31T06:25:05Z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FB2A817E4C574112AB81E3444FCE133E</vt:lpwstr>
  </property>
</Properties>
</file>