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3C7CFD">
      <w:pPr>
        <w:spacing w:line="157" w:lineRule="exact"/>
      </w:pPr>
    </w:p>
    <w:tbl>
      <w:tblPr>
        <w:tblStyle w:val="9"/>
        <w:tblW w:w="2700" w:type="dxa"/>
        <w:tblInd w:w="5414"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2700"/>
      </w:tblGrid>
      <w:tr w14:paraId="47991C31">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453" w:hRule="atLeast"/>
        </w:trPr>
        <w:tc>
          <w:tcPr>
            <w:tcW w:w="2700" w:type="dxa"/>
            <w:vAlign w:val="top"/>
          </w:tcPr>
          <w:p w14:paraId="45F307DE">
            <w:pPr>
              <w:spacing w:before="106" w:line="217" w:lineRule="auto"/>
              <w:ind w:left="151"/>
              <w:rPr>
                <w:rFonts w:ascii="楷体" w:hAnsi="楷体" w:eastAsia="楷体" w:cs="楷体"/>
                <w:sz w:val="24"/>
                <w:szCs w:val="24"/>
              </w:rPr>
            </w:pPr>
            <w:r>
              <w:rPr>
                <w:rFonts w:ascii="楷体" w:hAnsi="楷体" w:eastAsia="楷体" w:cs="楷体"/>
                <w:spacing w:val="-9"/>
                <w:sz w:val="24"/>
                <w:szCs w:val="24"/>
              </w:rPr>
              <w:t>课</w:t>
            </w:r>
            <w:r>
              <w:rPr>
                <w:rFonts w:ascii="楷体" w:hAnsi="楷体" w:eastAsia="楷体" w:cs="楷体"/>
                <w:spacing w:val="-8"/>
                <w:sz w:val="24"/>
                <w:szCs w:val="24"/>
              </w:rPr>
              <w:t>题编号：</w:t>
            </w:r>
          </w:p>
        </w:tc>
      </w:tr>
    </w:tbl>
    <w:p w14:paraId="5DB67A78">
      <w:pPr>
        <w:spacing w:line="339" w:lineRule="auto"/>
        <w:rPr>
          <w:rFonts w:ascii="Arial"/>
          <w:sz w:val="21"/>
        </w:rPr>
      </w:pPr>
    </w:p>
    <w:p w14:paraId="263778B6">
      <w:pPr>
        <w:spacing w:line="340" w:lineRule="auto"/>
        <w:rPr>
          <w:rFonts w:ascii="Arial"/>
          <w:sz w:val="21"/>
        </w:rPr>
      </w:pPr>
    </w:p>
    <w:p w14:paraId="054BADED">
      <w:pPr>
        <w:spacing w:before="169" w:line="342" w:lineRule="auto"/>
        <w:ind w:left="2938" w:right="1301" w:hanging="1613"/>
        <w:rPr>
          <w:rFonts w:ascii="宋体" w:hAnsi="宋体" w:eastAsia="宋体" w:cs="宋体"/>
          <w:sz w:val="52"/>
          <w:szCs w:val="52"/>
        </w:rPr>
      </w:pPr>
      <w:r>
        <w:rPr>
          <w:rFonts w:hint="eastAsia" w:ascii="宋体" w:hAnsi="宋体" w:eastAsia="宋体" w:cs="宋体"/>
          <w:spacing w:val="-2"/>
          <w:sz w:val="52"/>
          <w:szCs w:val="52"/>
          <w:lang w:eastAsia="zh-CN"/>
          <w14:textOutline w14:w="9434" w14:cap="flat" w14:cmpd="sng">
            <w14:solidFill>
              <w14:srgbClr w14:val="000000"/>
            </w14:solidFill>
            <w14:prstDash w14:val="solid"/>
            <w14:miter w14:val="0"/>
          </w14:textOutline>
        </w:rPr>
        <w:t>xx</w:t>
      </w:r>
      <w:r>
        <w:rPr>
          <w:rFonts w:ascii="宋体" w:hAnsi="宋体" w:eastAsia="宋体" w:cs="宋体"/>
          <w:spacing w:val="-2"/>
          <w:sz w:val="52"/>
          <w:szCs w:val="52"/>
          <w14:textOutline w14:w="9434" w14:cap="flat" w14:cmpd="sng">
            <w14:solidFill>
              <w14:srgbClr w14:val="000000"/>
            </w14:solidFill>
            <w14:prstDash w14:val="solid"/>
            <w14:miter w14:val="0"/>
          </w14:textOutline>
        </w:rPr>
        <w:t>省</w:t>
      </w:r>
      <w:r>
        <w:rPr>
          <w:rFonts w:ascii="宋体" w:hAnsi="宋体" w:eastAsia="宋体" w:cs="宋体"/>
          <w:spacing w:val="-1"/>
          <w:sz w:val="52"/>
          <w:szCs w:val="52"/>
          <w14:textOutline w14:w="9434" w14:cap="flat" w14:cmpd="sng">
            <w14:solidFill>
              <w14:srgbClr w14:val="000000"/>
            </w14:solidFill>
            <w14:prstDash w14:val="solid"/>
            <w14:miter w14:val="0"/>
          </w14:textOutline>
        </w:rPr>
        <w:t>基础教育研究课题</w:t>
      </w:r>
      <w:r>
        <w:rPr>
          <w:rFonts w:ascii="宋体" w:hAnsi="宋体" w:eastAsia="宋体" w:cs="宋体"/>
          <w:sz w:val="52"/>
          <w:szCs w:val="52"/>
        </w:rPr>
        <w:t xml:space="preserve"> </w:t>
      </w:r>
      <w:r>
        <w:rPr>
          <w:rFonts w:ascii="宋体" w:hAnsi="宋体" w:eastAsia="宋体" w:cs="宋体"/>
          <w:spacing w:val="-12"/>
          <w:sz w:val="52"/>
          <w:szCs w:val="52"/>
          <w14:textOutline w14:w="9434" w14:cap="flat" w14:cmpd="sng">
            <w14:solidFill>
              <w14:srgbClr w14:val="000000"/>
            </w14:solidFill>
            <w14:prstDash w14:val="solid"/>
            <w14:miter w14:val="0"/>
          </w14:textOutline>
        </w:rPr>
        <w:t>申</w:t>
      </w:r>
      <w:r>
        <w:rPr>
          <w:rFonts w:ascii="宋体" w:hAnsi="宋体" w:eastAsia="宋体" w:cs="宋体"/>
          <w:spacing w:val="-6"/>
          <w:sz w:val="52"/>
          <w:szCs w:val="52"/>
        </w:rPr>
        <w:t xml:space="preserve">  </w:t>
      </w:r>
      <w:r>
        <w:rPr>
          <w:rFonts w:ascii="宋体" w:hAnsi="宋体" w:eastAsia="宋体" w:cs="宋体"/>
          <w:spacing w:val="-6"/>
          <w:sz w:val="52"/>
          <w:szCs w:val="52"/>
          <w14:textOutline w14:w="9434" w14:cap="flat" w14:cmpd="sng">
            <w14:solidFill>
              <w14:srgbClr w14:val="000000"/>
            </w14:solidFill>
            <w14:prstDash w14:val="solid"/>
            <w14:miter w14:val="0"/>
          </w14:textOutline>
        </w:rPr>
        <w:t>报</w:t>
      </w:r>
      <w:r>
        <w:rPr>
          <w:rFonts w:ascii="宋体" w:hAnsi="宋体" w:eastAsia="宋体" w:cs="宋体"/>
          <w:spacing w:val="-6"/>
          <w:sz w:val="52"/>
          <w:szCs w:val="52"/>
        </w:rPr>
        <w:t xml:space="preserve">  </w:t>
      </w:r>
      <w:r>
        <w:rPr>
          <w:rFonts w:ascii="宋体" w:hAnsi="宋体" w:eastAsia="宋体" w:cs="宋体"/>
          <w:spacing w:val="-6"/>
          <w:sz w:val="52"/>
          <w:szCs w:val="52"/>
          <w14:textOutline w14:w="9434" w14:cap="flat" w14:cmpd="sng">
            <w14:solidFill>
              <w14:srgbClr w14:val="000000"/>
            </w14:solidFill>
            <w14:prstDash w14:val="solid"/>
            <w14:miter w14:val="0"/>
          </w14:textOutline>
        </w:rPr>
        <w:t>书</w:t>
      </w:r>
    </w:p>
    <w:p w14:paraId="51C1A40E">
      <w:pPr>
        <w:spacing w:line="258" w:lineRule="auto"/>
        <w:rPr>
          <w:rFonts w:ascii="Arial"/>
          <w:sz w:val="21"/>
        </w:rPr>
      </w:pPr>
    </w:p>
    <w:p w14:paraId="776C6C89">
      <w:pPr>
        <w:spacing w:line="258" w:lineRule="auto"/>
        <w:rPr>
          <w:rFonts w:ascii="Arial"/>
          <w:sz w:val="21"/>
        </w:rPr>
      </w:pPr>
    </w:p>
    <w:p w14:paraId="6903D908">
      <w:pPr>
        <w:spacing w:line="259" w:lineRule="auto"/>
        <w:rPr>
          <w:rFonts w:ascii="Arial"/>
          <w:sz w:val="21"/>
        </w:rPr>
      </w:pPr>
    </w:p>
    <w:p w14:paraId="48960A9F">
      <w:pPr>
        <w:spacing w:line="259" w:lineRule="auto"/>
        <w:rPr>
          <w:rFonts w:ascii="Arial"/>
          <w:sz w:val="21"/>
        </w:rPr>
      </w:pPr>
    </w:p>
    <w:p w14:paraId="3738980C">
      <w:pPr>
        <w:spacing w:line="259" w:lineRule="auto"/>
        <w:rPr>
          <w:rFonts w:ascii="Arial"/>
          <w:sz w:val="21"/>
        </w:rPr>
      </w:pPr>
    </w:p>
    <w:p w14:paraId="3AC8D4D9">
      <w:pPr>
        <w:spacing w:line="259" w:lineRule="auto"/>
        <w:rPr>
          <w:rFonts w:ascii="Arial"/>
          <w:sz w:val="21"/>
        </w:rPr>
      </w:pPr>
    </w:p>
    <w:p w14:paraId="48B31797">
      <w:pPr>
        <w:spacing w:line="259" w:lineRule="auto"/>
        <w:rPr>
          <w:rFonts w:ascii="Arial"/>
          <w:sz w:val="21"/>
        </w:rPr>
      </w:pPr>
    </w:p>
    <w:p w14:paraId="09645882">
      <w:pPr>
        <w:spacing w:line="259" w:lineRule="auto"/>
        <w:rPr>
          <w:rFonts w:ascii="Arial"/>
          <w:sz w:val="21"/>
        </w:rPr>
      </w:pPr>
    </w:p>
    <w:p w14:paraId="15006F11">
      <w:pPr>
        <w:spacing w:line="259" w:lineRule="auto"/>
        <w:rPr>
          <w:rFonts w:ascii="Arial"/>
          <w:sz w:val="21"/>
        </w:rPr>
      </w:pPr>
    </w:p>
    <w:p w14:paraId="15457FD3">
      <w:pPr>
        <w:spacing w:line="259" w:lineRule="auto"/>
        <w:rPr>
          <w:rFonts w:ascii="Arial"/>
          <w:sz w:val="21"/>
        </w:rPr>
      </w:pPr>
    </w:p>
    <w:p w14:paraId="61199B16">
      <w:pPr>
        <w:spacing w:before="91" w:line="409" w:lineRule="auto"/>
        <w:ind w:left="1983"/>
        <w:rPr>
          <w:rFonts w:hint="eastAsia" w:ascii="楷体" w:hAnsi="楷体" w:eastAsia="楷体" w:cs="楷体"/>
          <w:sz w:val="28"/>
          <w:szCs w:val="28"/>
          <w:u w:val="single" w:color="auto"/>
        </w:rPr>
      </w:pPr>
      <w:r>
        <w:rPr>
          <w:rFonts w:ascii="楷体" w:hAnsi="楷体" w:eastAsia="楷体" w:cs="楷体"/>
          <w:spacing w:val="-2"/>
          <w:sz w:val="28"/>
          <w:szCs w:val="28"/>
        </w:rPr>
        <w:t>课题名称</w:t>
      </w:r>
      <w:r>
        <w:rPr>
          <w:rFonts w:ascii="楷体" w:hAnsi="楷体" w:eastAsia="楷体" w:cs="楷体"/>
          <w:sz w:val="28"/>
          <w:szCs w:val="28"/>
          <w:u w:val="single" w:color="auto"/>
        </w:rPr>
        <w:t xml:space="preserve">  </w:t>
      </w:r>
      <w:r>
        <w:rPr>
          <w:rFonts w:hint="eastAsia" w:ascii="楷体" w:hAnsi="楷体" w:eastAsia="楷体" w:cs="楷体"/>
          <w:sz w:val="28"/>
          <w:szCs w:val="28"/>
          <w:u w:val="single" w:color="auto"/>
        </w:rPr>
        <w:t>基于新课标背景下的小学英语</w:t>
      </w:r>
    </w:p>
    <w:p w14:paraId="293C2B3F">
      <w:pPr>
        <w:spacing w:before="91" w:line="409" w:lineRule="auto"/>
        <w:ind w:left="1983"/>
        <w:jc w:val="center"/>
        <w:rPr>
          <w:rFonts w:ascii="楷体" w:hAnsi="楷体" w:eastAsia="楷体" w:cs="楷体"/>
          <w:sz w:val="28"/>
          <w:szCs w:val="28"/>
        </w:rPr>
      </w:pPr>
      <w:r>
        <w:rPr>
          <w:rFonts w:hint="eastAsia" w:ascii="楷体" w:hAnsi="楷体" w:eastAsia="楷体" w:cs="楷体"/>
          <w:sz w:val="28"/>
          <w:szCs w:val="28"/>
          <w:u w:val="single" w:color="auto"/>
        </w:rPr>
        <w:t>单元整体教学设计课例研究</w:t>
      </w:r>
    </w:p>
    <w:p w14:paraId="1D5CE699">
      <w:pPr>
        <w:spacing w:line="216" w:lineRule="auto"/>
        <w:ind w:left="2002"/>
        <w:rPr>
          <w:rFonts w:ascii="楷体" w:hAnsi="楷体" w:eastAsia="楷体" w:cs="楷体"/>
          <w:sz w:val="28"/>
          <w:szCs w:val="28"/>
        </w:rPr>
      </w:pPr>
      <w:r>
        <w:rPr>
          <w:rFonts w:ascii="楷体" w:hAnsi="楷体" w:eastAsia="楷体" w:cs="楷体"/>
          <w:spacing w:val="-9"/>
          <w:sz w:val="28"/>
          <w:szCs w:val="28"/>
          <w:u w:val="single" w:color="auto"/>
        </w:rPr>
        <w:t>学</w:t>
      </w:r>
      <w:r>
        <w:rPr>
          <w:rFonts w:ascii="楷体" w:hAnsi="楷体" w:eastAsia="楷体" w:cs="楷体"/>
          <w:spacing w:val="-6"/>
          <w:sz w:val="28"/>
          <w:szCs w:val="28"/>
          <w:u w:val="single" w:color="auto"/>
        </w:rPr>
        <w:t>科分类</w:t>
      </w:r>
      <w:r>
        <w:rPr>
          <w:rFonts w:ascii="楷体" w:hAnsi="楷体" w:eastAsia="楷体" w:cs="楷体"/>
          <w:sz w:val="28"/>
          <w:szCs w:val="28"/>
          <w:u w:val="single" w:color="auto"/>
        </w:rPr>
        <w:t xml:space="preserve">                       </w:t>
      </w:r>
    </w:p>
    <w:p w14:paraId="77FE6BC4">
      <w:pPr>
        <w:spacing w:before="296" w:line="217" w:lineRule="auto"/>
        <w:ind w:left="1983"/>
        <w:rPr>
          <w:rFonts w:ascii="楷体" w:hAnsi="楷体" w:eastAsia="楷体" w:cs="楷体"/>
          <w:sz w:val="28"/>
          <w:szCs w:val="28"/>
        </w:rPr>
      </w:pPr>
      <w:r>
        <w:rPr>
          <w:rFonts w:ascii="楷体" w:hAnsi="楷体" w:eastAsia="楷体" w:cs="楷体"/>
          <w:spacing w:val="-2"/>
          <w:sz w:val="28"/>
          <w:szCs w:val="28"/>
          <w:u w:val="single" w:color="auto"/>
        </w:rPr>
        <w:t>课</w:t>
      </w:r>
      <w:r>
        <w:rPr>
          <w:rFonts w:ascii="楷体" w:hAnsi="楷体" w:eastAsia="楷体" w:cs="楷体"/>
          <w:spacing w:val="-1"/>
          <w:sz w:val="28"/>
          <w:szCs w:val="28"/>
          <w:u w:val="single" w:color="auto"/>
        </w:rPr>
        <w:t>题负责人</w:t>
      </w:r>
      <w:r>
        <w:rPr>
          <w:rFonts w:ascii="楷体" w:hAnsi="楷体" w:eastAsia="楷体" w:cs="楷体"/>
          <w:sz w:val="28"/>
          <w:szCs w:val="28"/>
          <w:u w:val="single" w:color="auto"/>
        </w:rPr>
        <w:t xml:space="preserve">                    </w:t>
      </w:r>
    </w:p>
    <w:p w14:paraId="754A4375">
      <w:pPr>
        <w:spacing w:before="296" w:line="217" w:lineRule="auto"/>
        <w:ind w:left="2026"/>
        <w:rPr>
          <w:rFonts w:ascii="楷体" w:hAnsi="楷体" w:eastAsia="楷体" w:cs="楷体"/>
          <w:sz w:val="28"/>
          <w:szCs w:val="28"/>
        </w:rPr>
      </w:pPr>
      <w:r>
        <w:rPr>
          <w:rFonts w:ascii="楷体" w:hAnsi="楷体" w:eastAsia="楷体" w:cs="楷体"/>
          <w:spacing w:val="10"/>
          <w:sz w:val="28"/>
          <w:szCs w:val="28"/>
          <w:u w:val="single" w:color="auto"/>
        </w:rPr>
        <w:t>负</w:t>
      </w:r>
      <w:r>
        <w:rPr>
          <w:rFonts w:ascii="楷体" w:hAnsi="楷体" w:eastAsia="楷体" w:cs="楷体"/>
          <w:spacing w:val="6"/>
          <w:sz w:val="28"/>
          <w:szCs w:val="28"/>
          <w:u w:val="single" w:color="auto"/>
        </w:rPr>
        <w:t>责</w:t>
      </w:r>
      <w:r>
        <w:rPr>
          <w:rFonts w:ascii="楷体" w:hAnsi="楷体" w:eastAsia="楷体" w:cs="楷体"/>
          <w:spacing w:val="5"/>
          <w:sz w:val="28"/>
          <w:szCs w:val="28"/>
          <w:u w:val="single" w:color="auto"/>
        </w:rPr>
        <w:t>人所在单位(盖章)</w:t>
      </w:r>
      <w:r>
        <w:rPr>
          <w:rFonts w:ascii="楷体" w:hAnsi="楷体" w:eastAsia="楷体" w:cs="楷体"/>
          <w:sz w:val="28"/>
          <w:szCs w:val="28"/>
          <w:u w:val="single" w:color="auto"/>
        </w:rPr>
        <w:t xml:space="preserve">          </w:t>
      </w:r>
    </w:p>
    <w:p w14:paraId="570C1A65">
      <w:pPr>
        <w:spacing w:before="296" w:line="217" w:lineRule="auto"/>
        <w:ind w:left="1978"/>
        <w:rPr>
          <w:rFonts w:ascii="楷体" w:hAnsi="楷体" w:eastAsia="楷体" w:cs="楷体"/>
          <w:sz w:val="28"/>
          <w:szCs w:val="28"/>
        </w:rPr>
      </w:pPr>
      <w:r>
        <w:rPr>
          <w:rFonts w:ascii="楷体" w:hAnsi="楷体" w:eastAsia="楷体" w:cs="楷体"/>
          <w:spacing w:val="-1"/>
          <w:sz w:val="28"/>
          <w:szCs w:val="28"/>
          <w:u w:val="single" w:color="auto"/>
        </w:rPr>
        <w:t>研究起</w:t>
      </w:r>
      <w:r>
        <w:rPr>
          <w:rFonts w:ascii="楷体" w:hAnsi="楷体" w:eastAsia="楷体" w:cs="楷体"/>
          <w:sz w:val="28"/>
          <w:szCs w:val="28"/>
          <w:u w:val="single" w:color="auto"/>
        </w:rPr>
        <w:t xml:space="preserve">讫时期                   </w:t>
      </w:r>
    </w:p>
    <w:p w14:paraId="2EB0CF59">
      <w:pPr>
        <w:spacing w:before="297" w:line="215" w:lineRule="auto"/>
        <w:ind w:left="1984"/>
        <w:rPr>
          <w:rFonts w:ascii="楷体" w:hAnsi="楷体" w:eastAsia="楷体" w:cs="楷体"/>
          <w:sz w:val="28"/>
          <w:szCs w:val="28"/>
        </w:rPr>
      </w:pPr>
      <w:r>
        <w:rPr>
          <w:rFonts w:ascii="楷体" w:hAnsi="楷体" w:eastAsia="楷体" w:cs="楷体"/>
          <w:spacing w:val="13"/>
          <w:sz w:val="28"/>
          <w:szCs w:val="28"/>
          <w:u w:val="single" w:color="auto"/>
        </w:rPr>
        <w:t>联系电话(区号</w:t>
      </w:r>
      <w:r>
        <w:rPr>
          <w:rFonts w:ascii="楷体" w:hAnsi="楷体" w:eastAsia="楷体" w:cs="楷体"/>
          <w:spacing w:val="11"/>
          <w:sz w:val="28"/>
          <w:szCs w:val="28"/>
          <w:u w:val="single" w:color="auto"/>
        </w:rPr>
        <w:t>)</w:t>
      </w:r>
      <w:r>
        <w:rPr>
          <w:rFonts w:ascii="楷体" w:hAnsi="楷体" w:eastAsia="楷体" w:cs="楷体"/>
          <w:sz w:val="28"/>
          <w:szCs w:val="28"/>
          <w:u w:val="single" w:color="auto"/>
        </w:rPr>
        <w:t xml:space="preserve">                </w:t>
      </w:r>
    </w:p>
    <w:p w14:paraId="7312F355">
      <w:pPr>
        <w:spacing w:before="295" w:line="214" w:lineRule="auto"/>
        <w:ind w:left="1994"/>
        <w:rPr>
          <w:rFonts w:ascii="楷体" w:hAnsi="楷体" w:eastAsia="楷体" w:cs="楷体"/>
          <w:sz w:val="28"/>
          <w:szCs w:val="28"/>
        </w:rPr>
      </w:pPr>
      <w:r>
        <w:rPr>
          <w:rFonts w:ascii="楷体" w:hAnsi="楷体" w:eastAsia="楷体" w:cs="楷体"/>
          <w:spacing w:val="-7"/>
          <w:sz w:val="28"/>
          <w:szCs w:val="28"/>
          <w:u w:val="single" w:color="auto"/>
        </w:rPr>
        <w:t>邮</w:t>
      </w:r>
      <w:r>
        <w:rPr>
          <w:rFonts w:ascii="楷体" w:hAnsi="楷体" w:eastAsia="楷体" w:cs="楷体"/>
          <w:spacing w:val="-4"/>
          <w:sz w:val="28"/>
          <w:szCs w:val="28"/>
          <w:u w:val="single" w:color="auto"/>
        </w:rPr>
        <w:t>政编码</w:t>
      </w:r>
      <w:r>
        <w:rPr>
          <w:rFonts w:ascii="楷体" w:hAnsi="楷体" w:eastAsia="楷体" w:cs="楷体"/>
          <w:sz w:val="28"/>
          <w:szCs w:val="28"/>
          <w:u w:val="single" w:color="auto"/>
        </w:rPr>
        <w:t xml:space="preserve">                       </w:t>
      </w:r>
    </w:p>
    <w:p w14:paraId="141D48D7">
      <w:pPr>
        <w:spacing w:before="299" w:line="230" w:lineRule="auto"/>
        <w:ind w:left="1990"/>
        <w:rPr>
          <w:rFonts w:ascii="楷体" w:hAnsi="楷体" w:eastAsia="楷体" w:cs="楷体"/>
          <w:sz w:val="28"/>
          <w:szCs w:val="28"/>
        </w:rPr>
      </w:pPr>
      <w:r>
        <w:rPr>
          <w:rFonts w:ascii="楷体" w:hAnsi="楷体" w:eastAsia="楷体" w:cs="楷体"/>
          <w:spacing w:val="-6"/>
          <w:sz w:val="28"/>
          <w:szCs w:val="28"/>
          <w:u w:val="single" w:color="auto"/>
        </w:rPr>
        <w:t>通</w:t>
      </w:r>
      <w:r>
        <w:rPr>
          <w:rFonts w:ascii="楷体" w:hAnsi="楷体" w:eastAsia="楷体" w:cs="楷体"/>
          <w:spacing w:val="-3"/>
          <w:sz w:val="28"/>
          <w:szCs w:val="28"/>
          <w:u w:val="single" w:color="auto"/>
        </w:rPr>
        <w:t>讯地址</w:t>
      </w:r>
      <w:r>
        <w:rPr>
          <w:rFonts w:ascii="楷体" w:hAnsi="楷体" w:eastAsia="楷体" w:cs="楷体"/>
          <w:sz w:val="28"/>
          <w:szCs w:val="28"/>
          <w:u w:val="single" w:color="auto"/>
        </w:rPr>
        <w:t xml:space="preserve">                       </w:t>
      </w:r>
    </w:p>
    <w:p w14:paraId="58274983">
      <w:pPr>
        <w:spacing w:before="276" w:line="219" w:lineRule="auto"/>
        <w:ind w:left="2013"/>
        <w:rPr>
          <w:rFonts w:ascii="楷体" w:hAnsi="楷体" w:eastAsia="楷体" w:cs="楷体"/>
          <w:sz w:val="28"/>
          <w:szCs w:val="28"/>
        </w:rPr>
      </w:pPr>
      <w:r>
        <w:rPr>
          <w:rFonts w:ascii="楷体" w:hAnsi="楷体" w:eastAsia="楷体" w:cs="楷体"/>
          <w:spacing w:val="-11"/>
          <w:sz w:val="28"/>
          <w:szCs w:val="28"/>
          <w:u w:val="single" w:color="auto"/>
        </w:rPr>
        <w:t>电</w:t>
      </w:r>
      <w:r>
        <w:rPr>
          <w:rFonts w:ascii="楷体" w:hAnsi="楷体" w:eastAsia="楷体" w:cs="楷体"/>
          <w:spacing w:val="-9"/>
          <w:sz w:val="28"/>
          <w:szCs w:val="28"/>
          <w:u w:val="single" w:color="auto"/>
        </w:rPr>
        <w:t>子信箱</w:t>
      </w:r>
      <w:r>
        <w:rPr>
          <w:rFonts w:ascii="楷体" w:hAnsi="楷体" w:eastAsia="楷体" w:cs="楷体"/>
          <w:sz w:val="28"/>
          <w:szCs w:val="28"/>
          <w:u w:val="single" w:color="auto"/>
        </w:rPr>
        <w:t xml:space="preserve">                       </w:t>
      </w:r>
    </w:p>
    <w:p w14:paraId="7105AEC2">
      <w:pPr>
        <w:spacing w:line="264" w:lineRule="auto"/>
        <w:rPr>
          <w:rFonts w:ascii="Arial"/>
          <w:sz w:val="21"/>
        </w:rPr>
      </w:pPr>
    </w:p>
    <w:p w14:paraId="6DA1B26A">
      <w:pPr>
        <w:spacing w:line="264" w:lineRule="auto"/>
        <w:rPr>
          <w:rFonts w:ascii="Arial"/>
          <w:sz w:val="21"/>
        </w:rPr>
      </w:pPr>
    </w:p>
    <w:p w14:paraId="50EF3EA8">
      <w:pPr>
        <w:spacing w:line="264" w:lineRule="auto"/>
        <w:rPr>
          <w:rFonts w:ascii="Arial"/>
          <w:sz w:val="21"/>
        </w:rPr>
      </w:pPr>
    </w:p>
    <w:p w14:paraId="0A990F53">
      <w:pPr>
        <w:spacing w:line="264" w:lineRule="auto"/>
        <w:rPr>
          <w:rFonts w:ascii="Arial"/>
          <w:sz w:val="21"/>
        </w:rPr>
      </w:pPr>
    </w:p>
    <w:p w14:paraId="69E35049">
      <w:pPr>
        <w:spacing w:before="92" w:line="218" w:lineRule="auto"/>
        <w:ind w:left="2125"/>
        <w:rPr>
          <w:rFonts w:ascii="黑体" w:hAnsi="黑体" w:eastAsia="黑体" w:cs="黑体"/>
          <w:sz w:val="28"/>
          <w:szCs w:val="28"/>
        </w:rPr>
      </w:pPr>
      <w:r>
        <w:rPr>
          <w:rFonts w:hint="eastAsia" w:ascii="黑体" w:hAnsi="黑体" w:eastAsia="黑体" w:cs="黑体"/>
          <w:spacing w:val="-26"/>
          <w:sz w:val="28"/>
          <w:szCs w:val="28"/>
          <w:lang w:eastAsia="zh-CN"/>
          <w14:textOutline w14:w="5080" w14:cap="flat" w14:cmpd="sng">
            <w14:solidFill>
              <w14:srgbClr w14:val="000000"/>
            </w14:solidFill>
            <w14:prstDash w14:val="solid"/>
            <w14:miter w14:val="0"/>
          </w14:textOutline>
        </w:rPr>
        <w:t>xx</w:t>
      </w:r>
      <w:r>
        <w:rPr>
          <w:rFonts w:ascii="黑体" w:hAnsi="黑体" w:eastAsia="黑体" w:cs="黑体"/>
          <w:spacing w:val="-22"/>
          <w:sz w:val="28"/>
          <w:szCs w:val="28"/>
          <w14:textOutline w14:w="5080" w14:cap="flat" w14:cmpd="sng">
            <w14:solidFill>
              <w14:srgbClr w14:val="000000"/>
            </w14:solidFill>
            <w14:prstDash w14:val="solid"/>
            <w14:miter w14:val="0"/>
          </w14:textOutline>
        </w:rPr>
        <w:t>省</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教</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育</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厅</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课</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题</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基</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地</w:t>
      </w:r>
      <w:r>
        <w:rPr>
          <w:rFonts w:ascii="黑体" w:hAnsi="黑体" w:eastAsia="黑体" w:cs="黑体"/>
          <w:spacing w:val="-22"/>
          <w:sz w:val="28"/>
          <w:szCs w:val="28"/>
        </w:rPr>
        <w:t xml:space="preserve"> </w:t>
      </w:r>
      <w:r>
        <w:rPr>
          <w:rFonts w:ascii="黑体" w:hAnsi="黑体" w:eastAsia="黑体" w:cs="黑体"/>
          <w:spacing w:val="-22"/>
          <w:sz w:val="28"/>
          <w:szCs w:val="28"/>
          <w14:textOutline w14:w="5080" w14:cap="flat" w14:cmpd="sng">
            <w14:solidFill>
              <w14:srgbClr w14:val="000000"/>
            </w14:solidFill>
            <w14:prstDash w14:val="solid"/>
            <w14:miter w14:val="0"/>
          </w14:textOutline>
        </w:rPr>
        <w:t>办</w:t>
      </w:r>
    </w:p>
    <w:p w14:paraId="65845C30">
      <w:pPr>
        <w:spacing w:before="141" w:line="222" w:lineRule="auto"/>
        <w:ind w:left="3891"/>
        <w:rPr>
          <w:rFonts w:ascii="黑体" w:hAnsi="黑体" w:eastAsia="黑体" w:cs="黑体"/>
          <w:sz w:val="30"/>
          <w:szCs w:val="30"/>
        </w:rPr>
      </w:pPr>
      <w:r>
        <w:rPr>
          <w:rFonts w:ascii="黑体" w:hAnsi="黑体" w:eastAsia="黑体" w:cs="黑体"/>
          <w:spacing w:val="-7"/>
          <w:sz w:val="30"/>
          <w:szCs w:val="30"/>
        </w:rPr>
        <w:t>印</w:t>
      </w:r>
      <w:r>
        <w:rPr>
          <w:rFonts w:ascii="黑体" w:hAnsi="黑体" w:eastAsia="黑体" w:cs="黑体"/>
          <w:spacing w:val="-6"/>
          <w:sz w:val="30"/>
          <w:szCs w:val="30"/>
        </w:rPr>
        <w:t>制</w:t>
      </w:r>
    </w:p>
    <w:p w14:paraId="4306A3E0">
      <w:pPr>
        <w:sectPr>
          <w:pgSz w:w="11905" w:h="16840"/>
          <w:pgMar w:top="1431" w:right="1785" w:bottom="0" w:left="1785" w:header="0" w:footer="0" w:gutter="0"/>
          <w:cols w:space="720" w:num="1"/>
        </w:sectPr>
      </w:pPr>
    </w:p>
    <w:p w14:paraId="12B825A7">
      <w:pPr>
        <w:spacing w:line="293" w:lineRule="auto"/>
        <w:rPr>
          <w:rFonts w:ascii="Arial"/>
          <w:sz w:val="21"/>
        </w:rPr>
      </w:pPr>
    </w:p>
    <w:p w14:paraId="053AD5EC"/>
    <w:p w14:paraId="0593D8CD">
      <w:pPr>
        <w:spacing w:line="77" w:lineRule="exact"/>
      </w:pPr>
    </w:p>
    <w:tbl>
      <w:tblPr>
        <w:tblStyle w:val="9"/>
        <w:tblW w:w="85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29"/>
      </w:tblGrid>
      <w:tr w14:paraId="7D8CC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8529" w:type="dxa"/>
            <w:tcBorders>
              <w:top w:val="single" w:color="000000" w:sz="2" w:space="0"/>
              <w:bottom w:val="single" w:color="000000" w:sz="2" w:space="0"/>
            </w:tcBorders>
            <w:vAlign w:val="top"/>
          </w:tcPr>
          <w:p w14:paraId="5DD6672A">
            <w:pPr>
              <w:spacing w:before="269" w:line="220" w:lineRule="auto"/>
              <w:ind w:left="117"/>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6"/>
                <w:sz w:val="24"/>
                <w:szCs w:val="24"/>
                <w14:textFill>
                  <w14:solidFill>
                    <w14:schemeClr w14:val="tx1"/>
                  </w14:solidFill>
                </w14:textFill>
              </w:rPr>
              <w:t>2</w:t>
            </w:r>
            <w:r>
              <w:rPr>
                <w:rFonts w:ascii="宋体" w:hAnsi="宋体" w:eastAsia="宋体" w:cs="宋体"/>
                <w:color w:val="000000" w:themeColor="text1"/>
                <w:spacing w:val="-5"/>
                <w:sz w:val="24"/>
                <w:szCs w:val="24"/>
                <w14:textFill>
                  <w14:solidFill>
                    <w14:schemeClr w14:val="tx1"/>
                  </w14:solidFill>
                </w14:textFill>
              </w:rPr>
              <w:t>．</w:t>
            </w:r>
            <w:r>
              <w:rPr>
                <w:rFonts w:ascii="宋体" w:hAnsi="宋体" w:eastAsia="宋体" w:cs="宋体"/>
                <w:color w:val="000000" w:themeColor="text1"/>
                <w:spacing w:val="-3"/>
                <w:sz w:val="24"/>
                <w:szCs w:val="24"/>
                <w14:textFill>
                  <w14:solidFill>
                    <w14:schemeClr w14:val="tx1"/>
                  </w14:solidFill>
                </w14:textFill>
              </w:rPr>
              <w:t>工作基础</w:t>
            </w:r>
          </w:p>
        </w:tc>
      </w:tr>
      <w:tr w14:paraId="6CCA0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63" w:hRule="atLeast"/>
        </w:trPr>
        <w:tc>
          <w:tcPr>
            <w:tcW w:w="8529" w:type="dxa"/>
            <w:tcBorders>
              <w:top w:val="single" w:color="000000" w:sz="2" w:space="0"/>
              <w:bottom w:val="single" w:color="000000" w:sz="2" w:space="0"/>
            </w:tcBorders>
            <w:vAlign w:val="top"/>
          </w:tcPr>
          <w:p w14:paraId="5AD3582B">
            <w:pPr>
              <w:spacing w:before="33" w:line="257" w:lineRule="auto"/>
              <w:ind w:left="118" w:right="110" w:firstLine="7"/>
              <w:rPr>
                <w:rFonts w:ascii="宋体" w:hAnsi="宋体" w:eastAsia="宋体" w:cs="宋体"/>
                <w:color w:val="000000" w:themeColor="text1"/>
                <w:sz w:val="24"/>
                <w:szCs w:val="24"/>
                <w14:textFill>
                  <w14:solidFill>
                    <w14:schemeClr w14:val="tx1"/>
                  </w14:solidFill>
                </w14:textFill>
              </w:rPr>
            </w:pPr>
            <w:r>
              <w:rPr>
                <w:rFonts w:ascii="Calibri" w:hAnsi="Calibri" w:eastAsia="Calibri" w:cs="Calibri"/>
                <w:color w:val="000000" w:themeColor="text1"/>
                <w:spacing w:val="6"/>
                <w:sz w:val="24"/>
                <w:szCs w:val="24"/>
                <w14:textFill>
                  <w14:solidFill>
                    <w14:schemeClr w14:val="tx1"/>
                  </w14:solidFill>
                </w14:textFill>
              </w:rPr>
              <w:t>1</w:t>
            </w:r>
            <w:r>
              <w:rPr>
                <w:rFonts w:ascii="宋体" w:hAnsi="宋体" w:eastAsia="宋体" w:cs="宋体"/>
                <w:color w:val="000000" w:themeColor="text1"/>
                <w:spacing w:val="6"/>
                <w:sz w:val="24"/>
                <w:szCs w:val="24"/>
                <w14:textFill>
                  <w14:solidFill>
                    <w14:schemeClr w14:val="tx1"/>
                  </w14:solidFill>
                </w14:textFill>
              </w:rPr>
              <w:t>．课题组</w:t>
            </w:r>
            <w:r>
              <w:rPr>
                <w:rFonts w:ascii="宋体" w:hAnsi="宋体" w:eastAsia="宋体" w:cs="宋体"/>
                <w:color w:val="000000" w:themeColor="text1"/>
                <w:spacing w:val="3"/>
                <w:sz w:val="24"/>
                <w:szCs w:val="24"/>
                <w14:textFill>
                  <w14:solidFill>
                    <w14:schemeClr w14:val="tx1"/>
                  </w14:solidFill>
                </w14:textFill>
              </w:rPr>
              <w:t>成员已开展的相关研究及成果概述(包括自选课题、校级以上课题及</w:t>
            </w: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pacing w:val="-5"/>
                <w:sz w:val="24"/>
                <w:szCs w:val="24"/>
                <w14:textFill>
                  <w14:solidFill>
                    <w14:schemeClr w14:val="tx1"/>
                  </w14:solidFill>
                </w14:textFill>
              </w:rPr>
              <w:t>获励等)。</w:t>
            </w:r>
          </w:p>
          <w:p w14:paraId="74584955">
            <w:pPr>
              <w:spacing w:line="245" w:lineRule="auto"/>
              <w:rPr>
                <w:rFonts w:ascii="Arial"/>
                <w:color w:val="000000" w:themeColor="text1"/>
                <w:sz w:val="21"/>
                <w14:textFill>
                  <w14:solidFill>
                    <w14:schemeClr w14:val="tx1"/>
                  </w14:solidFill>
                </w14:textFill>
              </w:rPr>
            </w:pPr>
          </w:p>
          <w:p w14:paraId="4FDC0153">
            <w:pPr>
              <w:spacing w:line="245" w:lineRule="auto"/>
              <w:rPr>
                <w:rFonts w:ascii="Arial"/>
                <w:color w:val="000000" w:themeColor="text1"/>
                <w:sz w:val="21"/>
                <w14:textFill>
                  <w14:solidFill>
                    <w14:schemeClr w14:val="tx1"/>
                  </w14:solidFill>
                </w14:textFill>
              </w:rPr>
            </w:pPr>
          </w:p>
          <w:p w14:paraId="311AE590">
            <w:pPr>
              <w:numPr>
                <w:ilvl w:val="0"/>
                <w:numId w:val="0"/>
              </w:numPr>
              <w:spacing w:beforeLines="0" w:afterLines="0"/>
              <w:rPr>
                <w:rFonts w:ascii="宋体" w:hAnsi="宋体" w:eastAsia="宋体" w:cs="宋体"/>
                <w:color w:val="000000" w:themeColor="text1"/>
                <w:spacing w:val="-2"/>
                <w:sz w:val="24"/>
                <w:szCs w:val="24"/>
                <w14:textFill>
                  <w14:solidFill>
                    <w14:schemeClr w14:val="tx1"/>
                  </w14:solidFill>
                </w14:textFill>
              </w:rPr>
            </w:pPr>
            <w:r>
              <w:rPr>
                <w:rFonts w:ascii="Calibri" w:hAnsi="Calibri" w:eastAsia="Calibri" w:cs="Calibri"/>
                <w:color w:val="000000" w:themeColor="text1"/>
                <w:spacing w:val="-8"/>
                <w:sz w:val="24"/>
                <w:szCs w:val="24"/>
                <w14:textFill>
                  <w14:solidFill>
                    <w14:schemeClr w14:val="tx1"/>
                  </w14:solidFill>
                </w14:textFill>
              </w:rPr>
              <w:t xml:space="preserve">2 </w:t>
            </w:r>
            <w:r>
              <w:rPr>
                <w:rFonts w:ascii="宋体" w:hAnsi="宋体" w:eastAsia="宋体" w:cs="宋体"/>
                <w:color w:val="000000" w:themeColor="text1"/>
                <w:spacing w:val="-8"/>
                <w:sz w:val="24"/>
                <w:szCs w:val="24"/>
                <w14:textFill>
                  <w14:solidFill>
                    <w14:schemeClr w14:val="tx1"/>
                  </w14:solidFill>
                </w14:textFill>
              </w:rPr>
              <w:t>．</w:t>
            </w:r>
            <w:r>
              <w:rPr>
                <w:rFonts w:ascii="宋体" w:hAnsi="宋体" w:eastAsia="宋体" w:cs="宋体"/>
                <w:color w:val="000000" w:themeColor="text1"/>
                <w:spacing w:val="-6"/>
                <w:sz w:val="24"/>
                <w:szCs w:val="24"/>
                <w14:textFill>
                  <w14:solidFill>
                    <w14:schemeClr w14:val="tx1"/>
                  </w14:solidFill>
                </w14:textFill>
              </w:rPr>
              <w:t>已</w:t>
            </w:r>
            <w:r>
              <w:rPr>
                <w:rFonts w:ascii="宋体" w:hAnsi="宋体" w:eastAsia="宋体" w:cs="宋体"/>
                <w:color w:val="000000" w:themeColor="text1"/>
                <w:spacing w:val="-4"/>
                <w:sz w:val="24"/>
                <w:szCs w:val="24"/>
                <w14:textFill>
                  <w14:solidFill>
                    <w14:schemeClr w14:val="tx1"/>
                  </w14:solidFill>
                </w14:textFill>
              </w:rPr>
              <w:t>具备的教学改革与研究基础和环境，单位对课题的支持情况(含有关政策、</w:t>
            </w: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pacing w:val="-12"/>
                <w:sz w:val="24"/>
                <w:szCs w:val="24"/>
                <w14:textFill>
                  <w14:solidFill>
                    <w14:schemeClr w14:val="tx1"/>
                  </w14:solidFill>
                </w14:textFill>
              </w:rPr>
              <w:t>经</w:t>
            </w:r>
            <w:r>
              <w:rPr>
                <w:rFonts w:ascii="宋体" w:hAnsi="宋体" w:eastAsia="宋体" w:cs="宋体"/>
                <w:color w:val="000000" w:themeColor="text1"/>
                <w:spacing w:val="-7"/>
                <w:sz w:val="24"/>
                <w:szCs w:val="24"/>
                <w14:textFill>
                  <w14:solidFill>
                    <w14:schemeClr w14:val="tx1"/>
                  </w14:solidFill>
                </w14:textFill>
              </w:rPr>
              <w:t>费</w:t>
            </w:r>
            <w:r>
              <w:rPr>
                <w:rFonts w:ascii="宋体" w:hAnsi="宋体" w:eastAsia="宋体" w:cs="宋体"/>
                <w:color w:val="000000" w:themeColor="text1"/>
                <w:spacing w:val="-6"/>
                <w:sz w:val="24"/>
                <w:szCs w:val="24"/>
                <w14:textFill>
                  <w14:solidFill>
                    <w14:schemeClr w14:val="tx1"/>
                  </w14:solidFill>
                </w14:textFill>
              </w:rPr>
              <w:t>支持及其使用管理机制、保障条件等，可附有关文件)，尚缺少的条件和拟解</w:t>
            </w: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pacing w:val="-2"/>
                <w:sz w:val="24"/>
                <w:szCs w:val="24"/>
                <w14:textFill>
                  <w14:solidFill>
                    <w14:schemeClr w14:val="tx1"/>
                  </w14:solidFill>
                </w14:textFill>
              </w:rPr>
              <w:t xml:space="preserve">决的途径(不少于 </w:t>
            </w:r>
            <w:r>
              <w:rPr>
                <w:rFonts w:ascii="Calibri" w:hAnsi="Calibri" w:eastAsia="Calibri" w:cs="Calibri"/>
                <w:color w:val="000000" w:themeColor="text1"/>
                <w:spacing w:val="-2"/>
                <w:sz w:val="24"/>
                <w:szCs w:val="24"/>
                <w14:textFill>
                  <w14:solidFill>
                    <w14:schemeClr w14:val="tx1"/>
                  </w14:solidFill>
                </w14:textFill>
              </w:rPr>
              <w:t xml:space="preserve">300 </w:t>
            </w:r>
            <w:r>
              <w:rPr>
                <w:rFonts w:ascii="宋体" w:hAnsi="宋体" w:eastAsia="宋体" w:cs="宋体"/>
                <w:color w:val="000000" w:themeColor="text1"/>
                <w:spacing w:val="-2"/>
                <w:sz w:val="24"/>
                <w:szCs w:val="24"/>
                <w14:textFill>
                  <w14:solidFill>
                    <w14:schemeClr w14:val="tx1"/>
                  </w14:solidFill>
                </w14:textFill>
              </w:rPr>
              <w:t>字)</w:t>
            </w:r>
          </w:p>
          <w:p w14:paraId="0627B5D7">
            <w:pPr>
              <w:numPr>
                <w:ilvl w:val="0"/>
                <w:numId w:val="0"/>
              </w:numPr>
              <w:spacing w:beforeLines="0" w:afterLines="0"/>
              <w:rPr>
                <w:rFonts w:ascii="宋体" w:hAnsi="宋体" w:eastAsia="宋体" w:cs="宋体"/>
                <w:color w:val="000000" w:themeColor="text1"/>
                <w:spacing w:val="-2"/>
                <w:sz w:val="24"/>
                <w:szCs w:val="24"/>
                <w14:textFill>
                  <w14:solidFill>
                    <w14:schemeClr w14:val="tx1"/>
                  </w14:solidFill>
                </w14:textFill>
              </w:rPr>
            </w:pPr>
          </w:p>
          <w:p w14:paraId="5EB4ECE9">
            <w:pPr>
              <w:numPr>
                <w:ilvl w:val="0"/>
                <w:numId w:val="0"/>
              </w:numPr>
              <w:spacing w:beforeLines="0" w:afterLines="0"/>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b/>
                <w:bCs/>
                <w:color w:val="000000" w:themeColor="text1"/>
                <w:sz w:val="24"/>
                <w:szCs w:val="21"/>
                <w:lang w:val="en-US" w:eastAsia="zh-CN"/>
                <w14:textFill>
                  <w14:solidFill>
                    <w14:schemeClr w14:val="tx1"/>
                  </w14:solidFill>
                </w14:textFill>
              </w:rPr>
              <w:t>保障和支持：</w:t>
            </w:r>
            <w:r>
              <w:rPr>
                <w:rFonts w:hint="eastAsia" w:ascii="宋体" w:eastAsia="宋体" w:cs="Calibri"/>
                <w:color w:val="000000" w:themeColor="text1"/>
                <w:sz w:val="24"/>
                <w:szCs w:val="21"/>
                <w:lang w:val="en-US" w:eastAsia="zh-CN"/>
                <w14:textFill>
                  <w14:solidFill>
                    <w14:schemeClr w14:val="tx1"/>
                  </w14:solidFill>
                </w14:textFill>
              </w:rPr>
              <w:t>在新课程标准的指导下，建立了“教研室-学校-教研组-教师”的教科研网络机构，并在教学改革中实践，积累了丰富的教研经验。</w:t>
            </w:r>
          </w:p>
          <w:p w14:paraId="13826ED5">
            <w:pPr>
              <w:numPr>
                <w:ilvl w:val="0"/>
                <w:numId w:val="0"/>
              </w:numPr>
              <w:spacing w:beforeLines="0" w:afterLines="0"/>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color w:val="000000" w:themeColor="text1"/>
                <w:sz w:val="24"/>
                <w:szCs w:val="21"/>
                <w:lang w:val="en-US" w:eastAsia="zh-CN"/>
                <w14:textFill>
                  <w14:solidFill>
                    <w14:schemeClr w14:val="tx1"/>
                  </w14:solidFill>
                </w14:textFill>
              </w:rPr>
              <w:t>本课题由教研员牵头，课题组成员都是小学骨干教师，有丰富的教学经验和课题研究经历。教研室能很好的发挥教育科研的先导作用，能为课题研究提供人员、实验基地、研究经费等各项保障。</w:t>
            </w:r>
          </w:p>
          <w:p w14:paraId="60E25F8E">
            <w:pPr>
              <w:numPr>
                <w:ilvl w:val="0"/>
                <w:numId w:val="0"/>
              </w:numPr>
              <w:spacing w:beforeLines="0" w:afterLines="0"/>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b/>
                <w:bCs/>
                <w:color w:val="000000" w:themeColor="text1"/>
                <w:sz w:val="24"/>
                <w:szCs w:val="21"/>
                <w:lang w:val="en-US" w:eastAsia="zh-CN"/>
                <w14:textFill>
                  <w14:solidFill>
                    <w14:schemeClr w14:val="tx1"/>
                  </w14:solidFill>
                </w14:textFill>
              </w:rPr>
              <w:t>尚缺少的条件</w:t>
            </w:r>
            <w:r>
              <w:rPr>
                <w:rFonts w:hint="eastAsia" w:ascii="宋体" w:eastAsia="宋体" w:cs="Calibri"/>
                <w:color w:val="000000" w:themeColor="text1"/>
                <w:sz w:val="24"/>
                <w:szCs w:val="21"/>
                <w:lang w:val="en-US" w:eastAsia="zh-CN"/>
                <w14:textFill>
                  <w14:solidFill>
                    <w14:schemeClr w14:val="tx1"/>
                  </w14:solidFill>
                </w14:textFill>
              </w:rPr>
              <w:t>：部分相关著作没有查阅到；由于网站使用权限有限，使得搜集到的国外文献不多；课题组成员对英语单元整体教学设计的理论知识的掌握有待完善，自身理论素养还不够深厚。</w:t>
            </w:r>
          </w:p>
          <w:p w14:paraId="55DDEFD7">
            <w:pPr>
              <w:numPr>
                <w:ilvl w:val="0"/>
                <w:numId w:val="0"/>
              </w:numPr>
              <w:spacing w:beforeLines="0" w:afterLines="0"/>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b/>
                <w:bCs/>
                <w:color w:val="000000" w:themeColor="text1"/>
                <w:sz w:val="24"/>
                <w:szCs w:val="21"/>
                <w:lang w:val="en-US" w:eastAsia="zh-CN"/>
                <w14:textFill>
                  <w14:solidFill>
                    <w14:schemeClr w14:val="tx1"/>
                  </w14:solidFill>
                </w14:textFill>
              </w:rPr>
              <w:t>拟解决的途径</w:t>
            </w:r>
            <w:r>
              <w:rPr>
                <w:rFonts w:hint="eastAsia" w:ascii="宋体" w:eastAsia="宋体" w:cs="Calibri"/>
                <w:color w:val="000000" w:themeColor="text1"/>
                <w:sz w:val="24"/>
                <w:szCs w:val="21"/>
                <w:lang w:val="en-US" w:eastAsia="zh-CN"/>
                <w14:textFill>
                  <w14:solidFill>
                    <w14:schemeClr w14:val="tx1"/>
                  </w14:solidFill>
                </w14:textFill>
              </w:rPr>
              <w:t>：积极参与培训与交流活动，向一线小学英语教师寻求帮助。大量搜集单元整体教学、新课标和核心素养的相关文献和著作，提高课题组理论水平和素养，努力加深论文的理论深度。</w:t>
            </w:r>
          </w:p>
          <w:p w14:paraId="43C49F76">
            <w:pPr>
              <w:spacing w:before="78" w:line="250" w:lineRule="auto"/>
              <w:ind w:right="105"/>
              <w:rPr>
                <w:rFonts w:ascii="宋体" w:hAnsi="宋体" w:eastAsia="宋体" w:cs="宋体"/>
                <w:color w:val="000000" w:themeColor="text1"/>
                <w:sz w:val="24"/>
                <w:szCs w:val="24"/>
                <w14:textFill>
                  <w14:solidFill>
                    <w14:schemeClr w14:val="tx1"/>
                  </w14:solidFill>
                </w14:textFill>
              </w:rPr>
            </w:pPr>
          </w:p>
        </w:tc>
      </w:tr>
    </w:tbl>
    <w:p w14:paraId="63BABAAC">
      <w:pPr>
        <w:rPr>
          <w:rFonts w:ascii="Arial"/>
          <w:sz w:val="21"/>
        </w:rPr>
      </w:pPr>
    </w:p>
    <w:p w14:paraId="2A1EAF08">
      <w:pPr>
        <w:sectPr>
          <w:pgSz w:w="11905" w:h="16840"/>
          <w:pgMar w:top="1431" w:right="1680" w:bottom="0" w:left="1685" w:header="0" w:footer="0" w:gutter="0"/>
          <w:cols w:space="720" w:num="1"/>
        </w:sectPr>
      </w:pPr>
    </w:p>
    <w:p w14:paraId="175B343A">
      <w:pPr>
        <w:spacing w:line="273" w:lineRule="auto"/>
        <w:rPr>
          <w:rFonts w:ascii="Arial"/>
          <w:sz w:val="21"/>
        </w:rPr>
      </w:pPr>
    </w:p>
    <w:p w14:paraId="03F1F562">
      <w:pPr>
        <w:spacing w:before="78" w:line="216" w:lineRule="auto"/>
        <w:ind w:left="129"/>
        <w:rPr>
          <w:rFonts w:ascii="黑体" w:hAnsi="黑体" w:eastAsia="黑体" w:cs="黑体"/>
          <w:sz w:val="24"/>
          <w:szCs w:val="24"/>
        </w:rPr>
      </w:pPr>
      <w:r>
        <w:rPr>
          <w:rFonts w:ascii="黑体" w:hAnsi="黑体" w:eastAsia="黑体" w:cs="黑体"/>
          <w:spacing w:val="-3"/>
          <w:sz w:val="24"/>
          <w:szCs w:val="24"/>
        </w:rPr>
        <w:t>三</w:t>
      </w:r>
      <w:r>
        <w:rPr>
          <w:rFonts w:ascii="黑体" w:hAnsi="黑体" w:eastAsia="黑体" w:cs="黑体"/>
          <w:spacing w:val="-2"/>
          <w:sz w:val="24"/>
          <w:szCs w:val="24"/>
        </w:rPr>
        <w:t>．课题论证</w:t>
      </w:r>
    </w:p>
    <w:tbl>
      <w:tblPr>
        <w:tblStyle w:val="9"/>
        <w:tblW w:w="8558"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558"/>
      </w:tblGrid>
      <w:tr w14:paraId="762A92D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108" w:hRule="atLeast"/>
        </w:trPr>
        <w:tc>
          <w:tcPr>
            <w:tcW w:w="8558" w:type="dxa"/>
            <w:vAlign w:val="top"/>
          </w:tcPr>
          <w:p w14:paraId="33010293">
            <w:pPr>
              <w:spacing w:before="33" w:line="250" w:lineRule="auto"/>
              <w:ind w:left="114" w:right="101" w:firstLine="17"/>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1．对研究课题的论证：本课题研究目标、理论假设、基本内容、重点和</w:t>
            </w:r>
            <w:r>
              <w:rPr>
                <w:rFonts w:ascii="宋体" w:hAnsi="宋体" w:eastAsia="宋体" w:cs="宋体"/>
                <w:color w:val="000000" w:themeColor="text1"/>
                <w:spacing w:val="-1"/>
                <w:sz w:val="24"/>
                <w:szCs w:val="24"/>
                <w14:textFill>
                  <w14:solidFill>
                    <w14:schemeClr w14:val="tx1"/>
                  </w14:solidFill>
                </w14:textFill>
              </w:rPr>
              <w:t>难</w:t>
            </w:r>
            <w:r>
              <w:rPr>
                <w:rFonts w:ascii="宋体" w:hAnsi="宋体" w:eastAsia="宋体" w:cs="宋体"/>
                <w:color w:val="000000" w:themeColor="text1"/>
                <w:sz w:val="24"/>
                <w:szCs w:val="24"/>
                <w14:textFill>
                  <w14:solidFill>
                    <w14:schemeClr w14:val="tx1"/>
                  </w14:solidFill>
                </w14:textFill>
              </w:rPr>
              <w:t xml:space="preserve">点； </w:t>
            </w:r>
            <w:r>
              <w:rPr>
                <w:rFonts w:ascii="宋体" w:hAnsi="宋体" w:eastAsia="宋体" w:cs="宋体"/>
                <w:color w:val="000000" w:themeColor="text1"/>
                <w:spacing w:val="-13"/>
                <w:sz w:val="24"/>
                <w:szCs w:val="24"/>
                <w14:textFill>
                  <w14:solidFill>
                    <w14:schemeClr w14:val="tx1"/>
                  </w14:solidFill>
                </w14:textFill>
              </w:rPr>
              <w:t>国</w:t>
            </w:r>
            <w:r>
              <w:rPr>
                <w:rFonts w:ascii="宋体" w:hAnsi="宋体" w:eastAsia="宋体" w:cs="宋体"/>
                <w:color w:val="000000" w:themeColor="text1"/>
                <w:spacing w:val="-9"/>
                <w:sz w:val="24"/>
                <w:szCs w:val="24"/>
                <w14:textFill>
                  <w14:solidFill>
                    <w14:schemeClr w14:val="tx1"/>
                  </w14:solidFill>
                </w14:textFill>
              </w:rPr>
              <w:t>内同类课题研究状况； 本课题的理论意义和实践意义。 本课题的特色、创新及</w:t>
            </w: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pacing w:val="-4"/>
                <w:sz w:val="24"/>
                <w:szCs w:val="24"/>
                <w14:textFill>
                  <w14:solidFill>
                    <w14:schemeClr w14:val="tx1"/>
                  </w14:solidFill>
                </w14:textFill>
              </w:rPr>
              <w:t>推</w:t>
            </w:r>
            <w:r>
              <w:rPr>
                <w:rFonts w:ascii="宋体" w:hAnsi="宋体" w:eastAsia="宋体" w:cs="宋体"/>
                <w:color w:val="000000" w:themeColor="text1"/>
                <w:spacing w:val="-3"/>
                <w:sz w:val="24"/>
                <w:szCs w:val="24"/>
                <w14:textFill>
                  <w14:solidFill>
                    <w14:schemeClr w14:val="tx1"/>
                  </w14:solidFill>
                </w14:textFill>
              </w:rPr>
              <w:t>广</w:t>
            </w:r>
            <w:r>
              <w:rPr>
                <w:rFonts w:ascii="宋体" w:hAnsi="宋体" w:eastAsia="宋体" w:cs="宋体"/>
                <w:color w:val="000000" w:themeColor="text1"/>
                <w:spacing w:val="-2"/>
                <w:sz w:val="24"/>
                <w:szCs w:val="24"/>
                <w14:textFill>
                  <w14:solidFill>
                    <w14:schemeClr w14:val="tx1"/>
                  </w14:solidFill>
                </w14:textFill>
              </w:rPr>
              <w:t>应用价值及推广途径。</w:t>
            </w:r>
          </w:p>
          <w:p w14:paraId="226976EB">
            <w:pPr>
              <w:spacing w:before="33" w:line="250" w:lineRule="auto"/>
              <w:ind w:right="101"/>
              <w:rPr>
                <w:rFonts w:ascii="宋体" w:hAnsi="宋体" w:eastAsia="宋体" w:cs="宋体"/>
                <w:color w:val="000000" w:themeColor="text1"/>
                <w:spacing w:val="-9"/>
                <w:sz w:val="24"/>
                <w:szCs w:val="24"/>
                <w14:textFill>
                  <w14:solidFill>
                    <w14:schemeClr w14:val="tx1"/>
                  </w14:solidFill>
                </w14:textFill>
              </w:rPr>
            </w:pPr>
          </w:p>
          <w:p w14:paraId="7A889D03">
            <w:pPr>
              <w:spacing w:before="33" w:line="250" w:lineRule="auto"/>
              <w:ind w:left="114" w:right="101" w:firstLine="17"/>
              <w:rPr>
                <w:rFonts w:ascii="宋体" w:hAnsi="宋体" w:eastAsia="宋体" w:cs="宋体"/>
                <w:b/>
                <w:bCs/>
                <w:color w:val="000000" w:themeColor="text1"/>
                <w:spacing w:val="-9"/>
                <w:sz w:val="24"/>
                <w:szCs w:val="24"/>
                <w14:textFill>
                  <w14:solidFill>
                    <w14:schemeClr w14:val="tx1"/>
                  </w14:solidFill>
                </w14:textFill>
              </w:rPr>
            </w:pPr>
            <w:r>
              <w:rPr>
                <w:rFonts w:hint="eastAsia" w:ascii="宋体" w:hAnsi="宋体" w:eastAsia="宋体" w:cs="宋体"/>
                <w:b/>
                <w:bCs/>
                <w:color w:val="000000" w:themeColor="text1"/>
                <w:spacing w:val="-9"/>
                <w:sz w:val="24"/>
                <w:szCs w:val="24"/>
                <w:lang w:val="en-US" w:eastAsia="zh-CN"/>
                <w14:textFill>
                  <w14:solidFill>
                    <w14:schemeClr w14:val="tx1"/>
                  </w14:solidFill>
                </w14:textFill>
              </w:rPr>
              <w:t>1.1研究目标</w:t>
            </w:r>
          </w:p>
          <w:p w14:paraId="26AFDD60">
            <w:pPr>
              <w:spacing w:before="33" w:line="250" w:lineRule="auto"/>
              <w:ind w:left="114" w:right="101" w:firstLine="17"/>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理论层面：第一，明确单元整体教学的内涵和价值，以及其在新课标中的具体体现，深化对这一理念的理解和对新课标的掌握，为后续教学提供理论支持，</w:t>
            </w:r>
            <w:r>
              <w:rPr>
                <w:rFonts w:hint="eastAsia" w:ascii="宋体" w:hAnsi="宋体" w:eastAsia="宋体" w:cs="宋体"/>
                <w:color w:val="000000" w:themeColor="text1"/>
                <w:sz w:val="24"/>
                <w:szCs w:val="24"/>
                <w:lang w:eastAsia="zh-CN"/>
                <w14:textFill>
                  <w14:solidFill>
                    <w14:schemeClr w14:val="tx1"/>
                  </w14:solidFill>
                </w14:textFill>
              </w:rPr>
              <w:t>进一步理解和回答教育教学中</w:t>
            </w:r>
            <w:r>
              <w:rPr>
                <w:rFonts w:hint="eastAsia" w:ascii="宋体" w:hAnsi="宋体" w:eastAsia="宋体" w:cs="宋体"/>
                <w:color w:val="000000" w:themeColor="text1"/>
                <w:sz w:val="24"/>
                <w:szCs w:val="24"/>
                <w14:textFill>
                  <w14:solidFill>
                    <w14:schemeClr w14:val="tx1"/>
                  </w14:solidFill>
                </w14:textFill>
              </w:rPr>
              <w:t>“是什么”和“怎么</w:t>
            </w:r>
            <w:r>
              <w:rPr>
                <w:rFonts w:hint="eastAsia" w:ascii="宋体" w:hAnsi="宋体" w:eastAsia="宋体" w:cs="宋体"/>
                <w:color w:val="000000" w:themeColor="text1"/>
                <w:sz w:val="24"/>
                <w:szCs w:val="24"/>
                <w:lang w:eastAsia="zh-CN"/>
                <w14:textFill>
                  <w14:solidFill>
                    <w14:schemeClr w14:val="tx1"/>
                  </w14:solidFill>
                </w14:textFill>
              </w:rPr>
              <w:t>做</w:t>
            </w:r>
            <w:r>
              <w:rPr>
                <w:rFonts w:hint="eastAsia" w:ascii="宋体" w:hAnsi="宋体" w:eastAsia="宋体" w:cs="宋体"/>
                <w:color w:val="000000" w:themeColor="text1"/>
                <w:sz w:val="24"/>
                <w:szCs w:val="24"/>
                <w14:textFill>
                  <w14:solidFill>
                    <w14:schemeClr w14:val="tx1"/>
                  </w14:solidFill>
                </w14:textFill>
              </w:rPr>
              <w:t>”的问题</w:t>
            </w:r>
            <w:r>
              <w:rPr>
                <w:rFonts w:hint="eastAsia" w:ascii="宋体" w:hAnsi="宋体" w:eastAsia="宋体" w:cs="宋体"/>
                <w:color w:val="000000" w:themeColor="text1"/>
                <w:spacing w:val="-9"/>
                <w:sz w:val="24"/>
                <w:szCs w:val="24"/>
                <w:lang w:val="en-US" w:eastAsia="zh-CN"/>
                <w14:textFill>
                  <w14:solidFill>
                    <w14:schemeClr w14:val="tx1"/>
                  </w14:solidFill>
                </w14:textFill>
              </w:rPr>
              <w:t>。</w:t>
            </w:r>
          </w:p>
          <w:p w14:paraId="4973C89D">
            <w:pPr>
              <w:pStyle w:val="2"/>
              <w:numPr>
                <w:ilvl w:val="0"/>
                <w:numId w:val="1"/>
              </w:numP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在原来已有的</w:t>
            </w:r>
            <w:r>
              <w:rPr>
                <w:rFonts w:hint="eastAsia" w:ascii="宋体" w:hAnsi="宋体" w:eastAsia="宋体" w:cs="宋体"/>
                <w:color w:val="000000" w:themeColor="text1"/>
                <w:sz w:val="24"/>
                <w:szCs w:val="24"/>
                <w:lang w:eastAsia="zh-CN"/>
                <w14:textFill>
                  <w14:solidFill>
                    <w14:schemeClr w14:val="tx1"/>
                  </w14:solidFill>
                </w14:textFill>
              </w:rPr>
              <w:t>英语</w:t>
            </w:r>
            <w:r>
              <w:rPr>
                <w:rFonts w:hint="eastAsia" w:ascii="宋体" w:hAnsi="宋体" w:eastAsia="宋体" w:cs="宋体"/>
                <w:color w:val="000000" w:themeColor="text1"/>
                <w:sz w:val="24"/>
                <w:szCs w:val="24"/>
                <w14:textFill>
                  <w14:solidFill>
                    <w14:schemeClr w14:val="tx1"/>
                  </w14:solidFill>
                </w14:textFill>
              </w:rPr>
              <w:t>课堂</w:t>
            </w:r>
            <w:r>
              <w:rPr>
                <w:rFonts w:hint="eastAsia" w:ascii="宋体" w:hAnsi="宋体" w:eastAsia="宋体" w:cs="宋体"/>
                <w:color w:val="000000" w:themeColor="text1"/>
                <w:sz w:val="24"/>
                <w:szCs w:val="24"/>
                <w:lang w:eastAsia="zh-CN"/>
                <w14:textFill>
                  <w14:solidFill>
                    <w14:schemeClr w14:val="tx1"/>
                  </w14:solidFill>
                </w14:textFill>
              </w:rPr>
              <w:t>教学规律和成效的</w:t>
            </w:r>
            <w:r>
              <w:rPr>
                <w:rFonts w:hint="eastAsia" w:ascii="宋体" w:hAnsi="宋体" w:eastAsia="宋体" w:cs="宋体"/>
                <w:color w:val="000000" w:themeColor="text1"/>
                <w:sz w:val="24"/>
                <w:szCs w:val="24"/>
                <w14:textFill>
                  <w14:solidFill>
                    <w14:schemeClr w14:val="tx1"/>
                  </w14:solidFill>
                </w14:textFill>
              </w:rPr>
              <w:t>基础上，对</w:t>
            </w:r>
            <w:r>
              <w:rPr>
                <w:rFonts w:hint="eastAsia" w:ascii="宋体" w:hAnsi="宋体" w:eastAsia="宋体" w:cs="宋体"/>
                <w:color w:val="000000" w:themeColor="text1"/>
                <w:spacing w:val="-9"/>
                <w:sz w:val="24"/>
                <w:szCs w:val="24"/>
                <w:lang w:val="en-US" w:eastAsia="zh-CN"/>
                <w14:textFill>
                  <w14:solidFill>
                    <w14:schemeClr w14:val="tx1"/>
                  </w14:solidFill>
                </w14:textFill>
              </w:rPr>
              <w:t>单元整体教学设计</w:t>
            </w:r>
            <w:r>
              <w:rPr>
                <w:rFonts w:hint="eastAsia" w:ascii="宋体" w:hAnsi="宋体" w:eastAsia="宋体" w:cs="宋体"/>
                <w:color w:val="000000" w:themeColor="text1"/>
                <w:sz w:val="24"/>
                <w:szCs w:val="24"/>
                <w14:textFill>
                  <w14:solidFill>
                    <w14:schemeClr w14:val="tx1"/>
                  </w14:solidFill>
                </w14:textFill>
              </w:rPr>
              <w:t>的</w:t>
            </w:r>
            <w:r>
              <w:rPr>
                <w:rFonts w:hint="eastAsia" w:ascii="宋体" w:hAnsi="宋体" w:eastAsia="宋体" w:cs="宋体"/>
                <w:color w:val="000000" w:themeColor="text1"/>
                <w:sz w:val="24"/>
                <w:szCs w:val="24"/>
                <w:lang w:eastAsia="zh-CN"/>
                <w14:textFill>
                  <w14:solidFill>
                    <w14:schemeClr w14:val="tx1"/>
                  </w14:solidFill>
                </w14:textFill>
              </w:rPr>
              <w:t>环节、流程和维度</w:t>
            </w:r>
            <w:r>
              <w:rPr>
                <w:rFonts w:hint="eastAsia" w:ascii="宋体" w:hAnsi="宋体" w:eastAsia="宋体" w:cs="宋体"/>
                <w:color w:val="000000" w:themeColor="text1"/>
                <w:sz w:val="24"/>
                <w:szCs w:val="24"/>
                <w14:textFill>
                  <w14:solidFill>
                    <w14:schemeClr w14:val="tx1"/>
                  </w14:solidFill>
                </w14:textFill>
              </w:rPr>
              <w:t>进行</w:t>
            </w:r>
            <w:r>
              <w:rPr>
                <w:rFonts w:hint="eastAsia" w:ascii="宋体" w:hAnsi="宋体" w:eastAsia="宋体" w:cs="宋体"/>
                <w:color w:val="000000" w:themeColor="text1"/>
                <w:sz w:val="24"/>
                <w:szCs w:val="24"/>
                <w:lang w:eastAsia="zh-CN"/>
                <w14:textFill>
                  <w14:solidFill>
                    <w14:schemeClr w14:val="tx1"/>
                  </w14:solidFill>
                </w14:textFill>
              </w:rPr>
              <w:t>探究</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寻找</w:t>
            </w:r>
            <w:r>
              <w:rPr>
                <w:rFonts w:hint="eastAsia" w:ascii="宋体" w:hAnsi="宋体" w:eastAsia="宋体" w:cs="宋体"/>
                <w:color w:val="000000" w:themeColor="text1"/>
                <w:sz w:val="24"/>
                <w:szCs w:val="24"/>
                <w14:textFill>
                  <w14:solidFill>
                    <w14:schemeClr w14:val="tx1"/>
                  </w14:solidFill>
                </w14:textFill>
              </w:rPr>
              <w:t>出合适</w:t>
            </w:r>
            <w:r>
              <w:rPr>
                <w:rFonts w:hint="eastAsia" w:ascii="宋体" w:hAnsi="宋体" w:eastAsia="宋体" w:cs="宋体"/>
                <w:color w:val="000000" w:themeColor="text1"/>
                <w:sz w:val="24"/>
                <w:szCs w:val="24"/>
                <w:lang w:eastAsia="zh-CN"/>
                <w14:textFill>
                  <w14:solidFill>
                    <w14:schemeClr w14:val="tx1"/>
                  </w14:solidFill>
                </w14:textFill>
              </w:rPr>
              <w:t>本校实际情况</w:t>
            </w:r>
            <w:r>
              <w:rPr>
                <w:rFonts w:hint="eastAsia" w:ascii="宋体" w:hAnsi="宋体" w:eastAsia="宋体" w:cs="宋体"/>
                <w:color w:val="000000" w:themeColor="text1"/>
                <w:sz w:val="24"/>
                <w:szCs w:val="24"/>
                <w14:textFill>
                  <w14:solidFill>
                    <w14:schemeClr w14:val="tx1"/>
                  </w14:solidFill>
                </w14:textFill>
              </w:rPr>
              <w:t>的</w:t>
            </w:r>
            <w:r>
              <w:rPr>
                <w:rFonts w:hint="eastAsia" w:ascii="宋体" w:hAnsi="宋体" w:eastAsia="宋体" w:cs="宋体"/>
                <w:color w:val="000000" w:themeColor="text1"/>
                <w:sz w:val="24"/>
                <w:szCs w:val="24"/>
                <w:lang w:eastAsia="zh-CN"/>
                <w14:textFill>
                  <w14:solidFill>
                    <w14:schemeClr w14:val="tx1"/>
                  </w14:solidFill>
                </w14:textFill>
              </w:rPr>
              <w:t>设计方案</w:t>
            </w:r>
            <w:r>
              <w:rPr>
                <w:rFonts w:hint="eastAsia" w:ascii="宋体" w:hAnsi="宋体" w:eastAsia="宋体" w:cs="宋体"/>
                <w:color w:val="000000" w:themeColor="text1"/>
                <w:sz w:val="24"/>
                <w:szCs w:val="24"/>
                <w14:textFill>
                  <w14:solidFill>
                    <w14:schemeClr w14:val="tx1"/>
                  </w14:solidFill>
                </w14:textFill>
              </w:rPr>
              <w:t>以供</w:t>
            </w:r>
            <w:r>
              <w:rPr>
                <w:rFonts w:hint="eastAsia" w:ascii="宋体" w:hAnsi="宋体" w:eastAsia="宋体" w:cs="宋体"/>
                <w:color w:val="000000" w:themeColor="text1"/>
                <w:sz w:val="24"/>
                <w:szCs w:val="24"/>
                <w:lang w:eastAsia="zh-CN"/>
                <w14:textFill>
                  <w14:solidFill>
                    <w14:schemeClr w14:val="tx1"/>
                  </w14:solidFill>
                </w14:textFill>
              </w:rPr>
              <w:t>新课标背景下英语单元整体教学的</w:t>
            </w:r>
            <w:r>
              <w:rPr>
                <w:rFonts w:hint="eastAsia" w:ascii="宋体" w:hAnsi="宋体" w:eastAsia="宋体" w:cs="宋体"/>
                <w:color w:val="000000" w:themeColor="text1"/>
                <w:sz w:val="24"/>
                <w:szCs w:val="24"/>
                <w14:textFill>
                  <w14:solidFill>
                    <w14:schemeClr w14:val="tx1"/>
                  </w14:solidFill>
                </w14:textFill>
              </w:rPr>
              <w:t>使用</w:t>
            </w:r>
            <w:r>
              <w:rPr>
                <w:rFonts w:hint="eastAsia" w:ascii="宋体" w:hAnsi="宋体" w:eastAsia="宋体" w:cs="宋体"/>
                <w:color w:val="000000" w:themeColor="text1"/>
                <w:sz w:val="24"/>
                <w:szCs w:val="24"/>
                <w:lang w:val="en-US" w:eastAsia="zh-CN"/>
                <w14:textFill>
                  <w14:solidFill>
                    <w14:schemeClr w14:val="tx1"/>
                  </w14:solidFill>
                </w14:textFill>
              </w:rPr>
              <w:t>。</w:t>
            </w:r>
          </w:p>
          <w:p w14:paraId="132D0855">
            <w:pPr>
              <w:pStyle w:val="2"/>
              <w:numPr>
                <w:ilvl w:val="0"/>
                <w:numId w:val="0"/>
              </w:numPr>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实践层面：第一，旨在通过以课题形式的研究探究适合我校英语学情，符合英语课程总目标，契合课程标准和教材体系的小学英语单元整体教学设计策略，从而更好的贯彻课程标准提出要求，促进整体实现高效学习。</w:t>
            </w:r>
          </w:p>
          <w:p w14:paraId="6A5C1568">
            <w:pPr>
              <w:spacing w:before="33" w:line="250" w:lineRule="auto"/>
              <w:ind w:left="114" w:right="101" w:firstLine="17"/>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第二，在以人为本的课程理念下，立足小学英语教学推动学生开展发现式、合作式、探究式学习，将教师由知识的传授者变为学生学习方式的引导者落到实处。同时，将英语单元学习目标具体化，以培养学生良好的学习习惯和兴趣，促进学生学习技能、文化品格和思维品质多方面发展。</w:t>
            </w:r>
          </w:p>
          <w:p w14:paraId="5BA60C76">
            <w:pPr>
              <w:spacing w:before="33" w:line="250" w:lineRule="auto"/>
              <w:ind w:left="114" w:right="101" w:firstLine="17"/>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第三，结合课题研究，使英语课堂教学更为生动有趣，从而转变教师传统教学观念，从课程目标、内容、实施及评价等层面完善核心素养视域下基于单元整体教学的英语教学模式，推动英语课堂由知识本位向素养本位发展。</w:t>
            </w:r>
          </w:p>
          <w:p w14:paraId="4FBE3E14">
            <w:pPr>
              <w:spacing w:before="33" w:line="250" w:lineRule="auto"/>
              <w:ind w:left="114" w:right="101" w:firstLine="17"/>
              <w:rPr>
                <w:rFonts w:hint="default" w:ascii="宋体" w:hAnsi="宋体" w:eastAsia="宋体" w:cs="宋体"/>
                <w:b/>
                <w:bCs/>
                <w:color w:val="000000" w:themeColor="text1"/>
                <w:spacing w:val="-9"/>
                <w:sz w:val="24"/>
                <w:szCs w:val="24"/>
                <w:lang w:val="en-US" w:eastAsia="zh-CN"/>
                <w14:textFill>
                  <w14:solidFill>
                    <w14:schemeClr w14:val="tx1"/>
                  </w14:solidFill>
                </w14:textFill>
              </w:rPr>
            </w:pPr>
            <w:r>
              <w:rPr>
                <w:rFonts w:hint="eastAsia" w:ascii="宋体" w:hAnsi="宋体" w:eastAsia="宋体" w:cs="宋体"/>
                <w:b/>
                <w:bCs/>
                <w:color w:val="000000" w:themeColor="text1"/>
                <w:spacing w:val="-9"/>
                <w:sz w:val="24"/>
                <w:szCs w:val="24"/>
                <w:lang w:val="en-US" w:eastAsia="zh-CN"/>
                <w14:textFill>
                  <w14:solidFill>
                    <w14:schemeClr w14:val="tx1"/>
                  </w14:solidFill>
                </w14:textFill>
              </w:rPr>
              <w:t>1.2理论假设</w:t>
            </w:r>
          </w:p>
          <w:p w14:paraId="16104E84">
            <w:pPr>
              <w:spacing w:before="33" w:line="250" w:lineRule="auto"/>
              <w:ind w:left="114" w:right="101" w:firstLine="17"/>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第一，教学目标设计、活动设计、内容整合、方法制定和评价方式选择是影响英语单元整体教学设计的主要因素。</w:t>
            </w:r>
          </w:p>
          <w:p w14:paraId="70531EB2">
            <w:pPr>
              <w:spacing w:before="33" w:line="250" w:lineRule="auto"/>
              <w:ind w:left="114" w:right="101" w:firstLine="17"/>
              <w:rPr>
                <w:rFonts w:ascii="Arial"/>
                <w:color w:val="000000" w:themeColor="text1"/>
                <w:sz w:val="21"/>
                <w14:textFill>
                  <w14:solidFill>
                    <w14:schemeClr w14:val="tx1"/>
                  </w14:solidFill>
                </w14:textFill>
              </w:rPr>
            </w:pPr>
            <w:r>
              <w:rPr>
                <w:rFonts w:hint="eastAsia" w:ascii="宋体" w:hAnsi="宋体" w:eastAsia="宋体" w:cs="宋体"/>
                <w:color w:val="000000" w:themeColor="text1"/>
                <w:spacing w:val="-9"/>
                <w:sz w:val="24"/>
                <w:szCs w:val="24"/>
                <w:lang w:val="en-US" w:eastAsia="zh-CN"/>
                <w14:textFill>
                  <w14:solidFill>
                    <w14:schemeClr w14:val="tx1"/>
                  </w14:solidFill>
                </w14:textFill>
              </w:rPr>
              <w:t>第二，针对具体课例的英语单元整体教学设计应建立在对课程标准仔细研读、对教材与学情准确分析的基础上，经过听课评课说课汲取优秀经验，最终优化教学设计，形成可实践、可应用、可推广的教学设计策略。</w:t>
            </w:r>
          </w:p>
          <w:p w14:paraId="4DFA6067">
            <w:pPr>
              <w:spacing w:line="243" w:lineRule="auto"/>
              <w:rPr>
                <w:rFonts w:hint="eastAsia" w:ascii="宋体" w:hAnsi="宋体" w:eastAsia="宋体" w:cs="宋体"/>
                <w:color w:val="000000" w:themeColor="text1"/>
                <w:spacing w:val="-9"/>
                <w:sz w:val="24"/>
                <w:szCs w:val="24"/>
                <w:lang w:val="en-US" w:eastAsia="zh-CN"/>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第三，</w:t>
            </w:r>
            <w:r>
              <w:rPr>
                <w:rFonts w:hint="eastAsia" w:ascii="宋体" w:hAnsi="宋体" w:eastAsia="宋体" w:cs="宋体"/>
                <w:color w:val="000000" w:themeColor="text1"/>
                <w:spacing w:val="-9"/>
                <w:sz w:val="24"/>
                <w:szCs w:val="24"/>
                <w:lang w:val="en-US" w:eastAsia="zh-CN"/>
                <w14:textFill>
                  <w14:solidFill>
                    <w14:schemeClr w14:val="tx1"/>
                  </w14:solidFill>
                </w14:textFill>
              </w:rPr>
              <w:t>小学英语单元整体教学设计应注重整体性、主体性和关联性。通过研究，证实单元整体教学设计能够实现以学生为主体的整体目标设计，有的放矢，因材施教，促进学生主动探索和建构，实现课时间互融互通，有机联系。小学英语单元整体教学是有效改善教学设计不科学、知识点教学碎片化、学生素质发展不均衡等问题的有效手段，也是发展学生语言能力、文化品格、思维品质和学习能力的有效途径。</w:t>
            </w:r>
          </w:p>
          <w:p w14:paraId="50F7DD27">
            <w:pPr>
              <w:spacing w:line="243" w:lineRule="auto"/>
              <w:rPr>
                <w:rFonts w:ascii="宋体" w:hAnsi="宋体" w:eastAsia="宋体" w:cs="宋体"/>
                <w:b/>
                <w:bCs/>
                <w:color w:val="000000" w:themeColor="text1"/>
                <w:spacing w:val="-2"/>
                <w:sz w:val="24"/>
                <w:szCs w:val="24"/>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1.3</w:t>
            </w:r>
            <w:r>
              <w:rPr>
                <w:rFonts w:ascii="宋体" w:hAnsi="宋体" w:eastAsia="宋体" w:cs="宋体"/>
                <w:b/>
                <w:bCs/>
                <w:color w:val="000000" w:themeColor="text1"/>
                <w:spacing w:val="-2"/>
                <w:sz w:val="24"/>
                <w:szCs w:val="24"/>
                <w14:textFill>
                  <w14:solidFill>
                    <w14:schemeClr w14:val="tx1"/>
                  </w14:solidFill>
                </w14:textFill>
              </w:rPr>
              <w:t>基本内容</w:t>
            </w:r>
          </w:p>
          <w:p w14:paraId="0A7E4B79">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（1）基于新课标背景下的小学英语单元整体教学设计原则</w:t>
            </w:r>
          </w:p>
          <w:p w14:paraId="0CCDE7B2">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第一，以课程标准为基准。在学习目标和内容设置环节，必须以课程标准为基础，考虑英语学科的性质特点，秉承课程基本理念，将核心素养融入课程目标中，引导学生独立思考，推动学生英语核心素养的发展。</w:t>
            </w:r>
          </w:p>
          <w:p w14:paraId="3F556498">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第二，以英语教材为依托。教师开展单元整体教学设计应建立在对教材整体布局全面了解的基础上，以教材为参考，以生活为基点，以单元教学目标为线索，整合基础知识，促进学生能力和素养发展。</w:t>
            </w:r>
          </w:p>
          <w:p w14:paraId="23671B70">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三，以学生发展为根本。教学设计首先应明确学生的主体地位，根据学生实际学情，实现课程内容的有机结合，既要帮助学生搭建英语知识框架，又要帮助他们养成自主学习、合作探究的意识和能力，根据不同年级、不同水平学生的需求设计不同的教学活动，使学生获得良好的学习体验和情感体验。</w:t>
            </w:r>
          </w:p>
          <w:p w14:paraId="4AAF3CB8">
            <w:pPr>
              <w:pStyle w:val="2"/>
              <w:numPr>
                <w:ilvl w:val="0"/>
                <w:numId w:val="0"/>
              </w:numPr>
              <w:rPr>
                <w:rFonts w:hint="default"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（2）基于新课标背景下的小学英语单元整体教学设计策略与实践</w:t>
            </w:r>
          </w:p>
          <w:p w14:paraId="2BCADDDE">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一，明确发展要求，制定多维目标。深入研读新课标，根据整体目标有的放矢的选择教学内容和材料，同时围绕新课标中语言能力、文化意识、思维品质和学习能力的要求设计符合学生基础、贴合教学实际、具体可行的多维目标。此外，基于对学生差异性的充分尊重，结合学习特点设计针对性的教学目标，使目标更加具体，起到统领和导向作用，体现教学的灵活性和开放性。</w:t>
            </w:r>
          </w:p>
          <w:p w14:paraId="7699886C">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二，梳理单元主线，凝练主旨意义。教师在开展教学设计师需通过单元主线将整个单元的内容串联起来，从主题、内容、模块、价值等方面综合分析并合理选择切入点，实现由知识学习向意义探究的推进。在完成主线梳理后根据单元整体目标分配课时和模块，确保各课时、模块和知识点之间合理衔接，层层递进。</w:t>
            </w:r>
          </w:p>
          <w:p w14:paraId="612FFDE4">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三，统筹分析教材，整合单元内容，构建知识体系。教材是由相互衔接的内容串联而成的整体，统筹单元需要对教材有整体把握，明确各个单元所处的位置和特定的功能，根据这一特点对单元急性整合与分析，找到教学设计的关键点，丰富单元内容，实现知识衔接，突破教材的局限。此外，教师还应积极挖掘教材以外的资源，多途径通入绘本、新闻、歌曲、视频等资源，为学生搭建新旧知识衔接的桥梁，拓展学生知识面。</w:t>
            </w:r>
          </w:p>
          <w:p w14:paraId="328FC1F5">
            <w:pPr>
              <w:pStyle w:val="2"/>
              <w:numPr>
                <w:ilvl w:val="0"/>
                <w:numId w:val="0"/>
              </w:num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四，设计整体活动，开展合作探究。着重培养学生自主学习的能力，凸显教学活动的整体性和渐进性，为学生有效学习奠定基础。小组合作形式能够满足不同学生的需求，实现个性化的发展。教师可以让学生在小组合作中进行探讨，巩固所学知识，提高学生的自主探究能力，促进学生养成自主探究的习惯，以此提高课堂教学效率。</w:t>
            </w:r>
          </w:p>
          <w:p w14:paraId="5ADE61F5">
            <w:pPr>
              <w:pStyle w:val="2"/>
              <w:numPr>
                <w:ilvl w:val="0"/>
                <w:numId w:val="0"/>
              </w:numPr>
              <w:rPr>
                <w:rFonts w:ascii="宋体" w:hAnsi="宋体" w:eastAsia="宋体" w:cs="宋体"/>
                <w:color w:val="000000" w:themeColor="text1"/>
                <w:spacing w:val="-2"/>
                <w:sz w:val="24"/>
                <w:szCs w:val="24"/>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第五，教学评一体化，开展多元评价。教师应为学生建立明确的评价标准，使评价与单元整体内容相对应，注重过程性评价，丰富评价的主体，使学生通过交流分享收获和体会，在思维碰撞中拓宽思维，促进学生的核心素养发展。</w:t>
            </w:r>
          </w:p>
          <w:p w14:paraId="08E74E0E">
            <w:pPr>
              <w:spacing w:line="243" w:lineRule="auto"/>
              <w:rPr>
                <w:rFonts w:ascii="Arial"/>
                <w:b/>
                <w:bCs/>
                <w:color w:val="000000" w:themeColor="text1"/>
                <w:sz w:val="21"/>
                <w14:textFill>
                  <w14:solidFill>
                    <w14:schemeClr w14:val="tx1"/>
                  </w14:solidFill>
                </w14:textFill>
              </w:rPr>
            </w:pPr>
            <w:r>
              <w:rPr>
                <w:rFonts w:hint="eastAsia" w:ascii="宋体" w:hAnsi="宋体" w:eastAsia="宋体" w:cs="宋体"/>
                <w:b/>
                <w:bCs/>
                <w:color w:val="000000" w:themeColor="text1"/>
                <w:spacing w:val="-2"/>
                <w:sz w:val="24"/>
                <w:szCs w:val="24"/>
                <w:lang w:val="en-US" w:eastAsia="zh-CN"/>
                <w14:textFill>
                  <w14:solidFill>
                    <w14:schemeClr w14:val="tx1"/>
                  </w14:solidFill>
                </w14:textFill>
              </w:rPr>
              <w:t>1.4</w:t>
            </w:r>
            <w:r>
              <w:rPr>
                <w:rFonts w:ascii="宋体" w:hAnsi="宋体" w:eastAsia="宋体" w:cs="宋体"/>
                <w:b/>
                <w:bCs/>
                <w:color w:val="000000" w:themeColor="text1"/>
                <w:spacing w:val="-2"/>
                <w:sz w:val="24"/>
                <w:szCs w:val="24"/>
                <w14:textFill>
                  <w14:solidFill>
                    <w14:schemeClr w14:val="tx1"/>
                  </w14:solidFill>
                </w14:textFill>
              </w:rPr>
              <w:t>重点和</w:t>
            </w:r>
            <w:r>
              <w:rPr>
                <w:rFonts w:ascii="宋体" w:hAnsi="宋体" w:eastAsia="宋体" w:cs="宋体"/>
                <w:b/>
                <w:bCs/>
                <w:color w:val="000000" w:themeColor="text1"/>
                <w:spacing w:val="-1"/>
                <w:sz w:val="24"/>
                <w:szCs w:val="24"/>
                <w14:textFill>
                  <w14:solidFill>
                    <w14:schemeClr w14:val="tx1"/>
                  </w14:solidFill>
                </w14:textFill>
              </w:rPr>
              <w:t>难</w:t>
            </w:r>
            <w:r>
              <w:rPr>
                <w:rFonts w:ascii="宋体" w:hAnsi="宋体" w:eastAsia="宋体" w:cs="宋体"/>
                <w:b/>
                <w:bCs/>
                <w:color w:val="000000" w:themeColor="text1"/>
                <w:sz w:val="24"/>
                <w:szCs w:val="24"/>
                <w14:textFill>
                  <w14:solidFill>
                    <w14:schemeClr w14:val="tx1"/>
                  </w14:solidFill>
                </w14:textFill>
              </w:rPr>
              <w:t>点</w:t>
            </w:r>
          </w:p>
          <w:p w14:paraId="495CED91">
            <w:pPr>
              <w:spacing w:line="243" w:lineRule="auto"/>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重点:分析研究小学英语单元整体教学设计策略，在具体实践中进一步优化并完成总结。</w:t>
            </w:r>
          </w:p>
          <w:p w14:paraId="3B84B6E8">
            <w:pPr>
              <w:spacing w:line="243" w:lineRule="auto"/>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难点:明确小学英语单元整体教学设计现状和问题，梳理出单元整体教学设计的影响因素；通过行动研究，结合课例提出小学英语单元整体教学设计优化策略。</w:t>
            </w:r>
          </w:p>
          <w:p w14:paraId="76AE3F3A">
            <w:pPr>
              <w:spacing w:line="243" w:lineRule="auto"/>
              <w:rPr>
                <w:rFonts w:hint="default" w:ascii="宋体" w:hAnsi="宋体" w:eastAsia="宋体" w:cs="宋体"/>
                <w:b/>
                <w:bCs/>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b/>
                <w:bCs/>
                <w:snapToGrid w:val="0"/>
                <w:color w:val="000000" w:themeColor="text1"/>
                <w:spacing w:val="-9"/>
                <w:kern w:val="0"/>
                <w:sz w:val="24"/>
                <w:szCs w:val="24"/>
                <w:lang w:val="en-US" w:eastAsia="zh-CN"/>
                <w14:textFill>
                  <w14:solidFill>
                    <w14:schemeClr w14:val="tx1"/>
                  </w14:solidFill>
                </w14:textFill>
              </w:rPr>
              <w:t>1.5同类课题研究现状</w:t>
            </w:r>
          </w:p>
          <w:p w14:paraId="1A45D644">
            <w:p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随着课程改革的深入开展，专家学者和一线教师围绕新课标下的单元整体教学、英语单元整体教学设计以及核心素养展开广泛而深入的研究，形成了丰富的成果，相关教育理论、研究方法和实施经验为后续研究奠定了坚实的基础。</w:t>
            </w:r>
          </w:p>
          <w:p w14:paraId="0C259A25">
            <w:pPr>
              <w:rPr>
                <w:rFonts w:hint="default"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单元整体教学起源于凯古德曼的整体教育理念和整体语言教学观，他对整体怨言的内涵进行深入分析，并将学生主体、课程操作、教材建设三个方面作为整体语言教育的发展方向。二十世纪九十年代后期单元整体教学的研究主要以主题式整体教学为主。英国剑桥大学在研究中指出，单元整体教学注重过程而非结果，教师应充分利用与单元主题相关的各种教学资源，激活学生的阅读体验。学者Marianne对整体教学的内容整合提出建议，认为应充分考虑内外因素与外部因素之间的匹配，内部因素包括语言技能、水平和层次，外部因素则包括学习者的特点、教学资源、班级氛围以及教学实施环节等。</w:t>
            </w:r>
          </w:p>
          <w:p w14:paraId="7CEAD425">
            <w:pP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我国在单元整体教学领域的研究在理论和实践层面都做出一定探索。学者王琳珊详细阐释了单元整体教学射击的理论，强调关注教学目标的整体设计、教材语篇的准确把握、学习互动的全面优化、学生能力的全面培养、学习效果的整体评价。学者陈静勉对单元整体教学模式进行解析和概括，认为单元整体教学模式的基本要素包括单元主题、模块结构、整体设计和师生对话，并将实施路径氛围分析、设计、实施和评价四个阶段。</w:t>
            </w:r>
          </w:p>
          <w:p w14:paraId="5C231A32">
            <w:pPr>
              <w:rPr>
                <w:rFonts w:hint="eastAsia" w:ascii="宋体" w:eastAsia="宋体" w:cs="Calibri"/>
                <w:color w:val="000000" w:themeColor="text1"/>
                <w:sz w:val="24"/>
                <w:szCs w:val="21"/>
                <w:lang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综上所述，国内研究为小学英语单元整体教学设计提供了大量资料和研究经验，但大多停留在整体框架和心</w:t>
            </w:r>
            <w:r>
              <w:rPr>
                <w:rFonts w:hint="eastAsia" w:ascii="宋体" w:cs="Calibri"/>
                <w:color w:val="000000" w:themeColor="text1"/>
                <w:sz w:val="24"/>
                <w:szCs w:val="21"/>
                <w:lang w:eastAsia="zh-CN"/>
                <w14:textFill>
                  <w14:solidFill>
                    <w14:schemeClr w14:val="tx1"/>
                  </w14:solidFill>
                </w14:textFill>
              </w:rPr>
              <w:t>得体会上，并未形成系统性、实用性的具体措施，随着课程改革和新课标的落实，会凸显出更多问题，我们需在充分学习前人理论的基础上拓展创新，优化英语单元整体教学设计，开展深入、细致的研究，形成落地性、高效性的可</w:t>
            </w:r>
            <w:r>
              <w:rPr>
                <w:rFonts w:hint="eastAsia" w:ascii="宋体" w:eastAsia="宋体" w:cs="Calibri"/>
                <w:color w:val="000000" w:themeColor="text1"/>
                <w:sz w:val="24"/>
                <w:szCs w:val="21"/>
                <w:lang w:eastAsia="zh-CN"/>
                <w14:textFill>
                  <w14:solidFill>
                    <w14:schemeClr w14:val="tx1"/>
                  </w14:solidFill>
                </w14:textFill>
              </w:rPr>
              <w:t>行办法。</w:t>
            </w:r>
          </w:p>
          <w:p w14:paraId="744C0187">
            <w:pPr>
              <w:spacing w:line="243" w:lineRule="auto"/>
              <w:rPr>
                <w:rFonts w:hint="default" w:ascii="宋体" w:hAnsi="宋体" w:eastAsia="宋体" w:cs="宋体"/>
                <w:b/>
                <w:bCs/>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b/>
                <w:bCs/>
                <w:snapToGrid w:val="0"/>
                <w:color w:val="000000" w:themeColor="text1"/>
                <w:spacing w:val="-9"/>
                <w:kern w:val="0"/>
                <w:sz w:val="24"/>
                <w:szCs w:val="24"/>
                <w:lang w:val="en-US" w:eastAsia="zh-CN"/>
                <w14:textFill>
                  <w14:solidFill>
                    <w14:schemeClr w14:val="tx1"/>
                  </w14:solidFill>
                </w14:textFill>
              </w:rPr>
              <w:t>1.6研究意义</w:t>
            </w:r>
          </w:p>
          <w:p w14:paraId="53195B94">
            <w:pPr>
              <w:spacing w:line="243" w:lineRule="auto"/>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理论意义：充实和丰富单元整体教学设计的理论并拓展英语教学的视角和思路。本课题从单元整体教学的特点出发，充分考虑我国小学生的英语学习需求与实际情况，深入研究课程标准、教材和课堂教学，以此完成对单元整体教学设计策略的探索，为提高小学英语教学质量提供有力支持。在研究中不断探索先进的教学理念，分析从多角度分析影响英语单元整体教学设计的因素，进一步拓展英语教学的研究范围，为教师和学生提供丰富资料和发展空间。</w:t>
            </w:r>
          </w:p>
          <w:p w14:paraId="08C2AE2C">
            <w:pPr>
              <w:spacing w:line="243" w:lineRule="auto"/>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zh-CN"/>
                <w14:textFill>
                  <w14:solidFill>
                    <w14:schemeClr w14:val="tx1"/>
                  </w14:solidFill>
                </w14:textFill>
              </w:rPr>
              <w:t>实践意义：学生层面分析，本课题有助于学生加深对基本语言知识、技能的掌握，培养学生自主学习、解决问题的能力，提高他们的英语水平和适应能力，同时为他们搭建英语知识内部链接和外部延伸的桥梁，在融会贯通、整体建构的过程中发展自身独有的知识结构</w:t>
            </w:r>
            <w:r>
              <w:rPr>
                <w:rFonts w:hint="eastAsia" w:ascii="宋体" w:eastAsia="宋体" w:cs="Calibri"/>
                <w:color w:val="000000" w:themeColor="text1"/>
                <w:sz w:val="24"/>
                <w:szCs w:val="21"/>
                <w:lang w:val="en-US" w:eastAsia="zh-CN"/>
                <w14:textFill>
                  <w14:solidFill>
                    <w14:schemeClr w14:val="tx1"/>
                  </w14:solidFill>
                </w14:textFill>
              </w:rPr>
              <w:t>，实现学习能力、思维能力和创新能力的提升，为核心素养发展奠基。从教师层面分析，教育研究是提高教师教学技能和思想认识有效方式，通过深入研究新课标和单元整体教学设计，深化教师对单元整体教学的认知，拓宽教师的教学思路，使教学设计更具前瞻性和指向性，教学内容的宽度和深度都得到拓展，从而提升教学质量。</w:t>
            </w:r>
          </w:p>
          <w:p w14:paraId="109A15CA">
            <w:pPr>
              <w:spacing w:line="243" w:lineRule="auto"/>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color w:val="000000" w:themeColor="text1"/>
                <w:sz w:val="24"/>
                <w:szCs w:val="21"/>
                <w:lang w:val="en-US" w:eastAsia="zh-CN"/>
                <w14:textFill>
                  <w14:solidFill>
                    <w14:schemeClr w14:val="tx1"/>
                  </w14:solidFill>
                </w14:textFill>
              </w:rPr>
              <w:t>小学英语单元整体教学设计的研究，一方面，是对常规碎片化教学方式不足的弥补，帮助学生在结构化学习的基础上完成知识整合和知识体系建构，引导教师关注和重视课堂教学的每一个环节，对一线教师备课和设计起到指引作用，助力小学英语课堂质量的提升。另一方面，是对学科育人的落实，单元整体教学模式建构站在课标的高度，利用教师对教材的整体把握，依据学生的认知水平与特点，整合优化课程结构，把其中具有内在联系的知识、能力、情感等因素进行整合重组，引导教师在行动中反思，践行新课标理念，转变教学方向，有利于提升学生掌握知识的高度，把握知识的整体化、系统化，最终发展学生的英语核心素养。</w:t>
            </w:r>
          </w:p>
          <w:p w14:paraId="06081F1E">
            <w:pPr>
              <w:pStyle w:val="6"/>
              <w:rPr>
                <w:rFonts w:hint="eastAsia"/>
                <w:color w:val="000000" w:themeColor="text1"/>
                <w:lang w:val="en-US" w:eastAsia="zh-CN"/>
                <w14:textFill>
                  <w14:solidFill>
                    <w14:schemeClr w14:val="tx1"/>
                  </w14:solidFill>
                </w14:textFill>
              </w:rPr>
            </w:pPr>
          </w:p>
          <w:p w14:paraId="6CB193DA">
            <w:pPr>
              <w:spacing w:line="243" w:lineRule="auto"/>
              <w:rPr>
                <w:rFonts w:hint="default" w:ascii="宋体" w:eastAsia="宋体" w:cs="Calibri"/>
                <w:b/>
                <w:bCs/>
                <w:color w:val="000000" w:themeColor="text1"/>
                <w:sz w:val="24"/>
                <w:szCs w:val="21"/>
                <w:lang w:val="en-US" w:eastAsia="zh-CN"/>
                <w14:textFill>
                  <w14:solidFill>
                    <w14:schemeClr w14:val="tx1"/>
                  </w14:solidFill>
                </w14:textFill>
              </w:rPr>
            </w:pPr>
            <w:r>
              <w:rPr>
                <w:rFonts w:hint="eastAsia" w:ascii="宋体" w:eastAsia="宋体" w:cs="Calibri"/>
                <w:b/>
                <w:bCs/>
                <w:color w:val="000000" w:themeColor="text1"/>
                <w:sz w:val="24"/>
                <w:szCs w:val="21"/>
                <w:lang w:val="en-US" w:eastAsia="zh-CN"/>
                <w14:textFill>
                  <w14:solidFill>
                    <w14:schemeClr w14:val="tx1"/>
                  </w14:solidFill>
                </w14:textFill>
              </w:rPr>
              <w:t>1.7特色和创新</w:t>
            </w:r>
          </w:p>
          <w:p w14:paraId="0E3C5A26">
            <w:pPr>
              <w:spacing w:line="243" w:lineRule="auto"/>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color w:val="000000" w:themeColor="text1"/>
                <w:sz w:val="24"/>
                <w:szCs w:val="21"/>
                <w:lang w:val="en-US" w:eastAsia="zh-CN"/>
                <w14:textFill>
                  <w14:solidFill>
                    <w14:schemeClr w14:val="tx1"/>
                  </w14:solidFill>
                </w14:textFill>
              </w:rPr>
              <w:t>通过研究为小学一线英语教师提供便于使用和参考的单元整体教学设计策略与方法，为提高小学英语教学质量提供可行思路。“单元整体教学设计”是较为新颖的理念，在实际教学中处于探索和优化阶段，无论是理论还是实践都有较大挖掘空间。本课题基于课例，解读新课标、教材，开展针对性设计和实践反思，有效解决小学英语单元整体教学设计中的现实问题,拓宽教学路径，丰富相关成果和实践研究。</w:t>
            </w:r>
          </w:p>
          <w:p w14:paraId="6682DBFF">
            <w:pPr>
              <w:spacing w:line="243" w:lineRule="auto"/>
              <w:rPr>
                <w:rFonts w:hint="eastAsia" w:ascii="宋体" w:eastAsia="宋体" w:cs="Calibri"/>
                <w:b/>
                <w:bCs/>
                <w:color w:val="000000" w:themeColor="text1"/>
                <w:sz w:val="24"/>
                <w:szCs w:val="21"/>
                <w:lang w:val="en-US" w:eastAsia="zh-CN"/>
                <w14:textFill>
                  <w14:solidFill>
                    <w14:schemeClr w14:val="tx1"/>
                  </w14:solidFill>
                </w14:textFill>
              </w:rPr>
            </w:pPr>
            <w:r>
              <w:rPr>
                <w:rFonts w:hint="eastAsia" w:ascii="宋体" w:eastAsia="宋体" w:cs="Calibri"/>
                <w:b/>
                <w:bCs/>
                <w:color w:val="000000" w:themeColor="text1"/>
                <w:sz w:val="24"/>
                <w:szCs w:val="21"/>
                <w:lang w:val="en-US" w:eastAsia="zh-CN"/>
                <w14:textFill>
                  <w14:solidFill>
                    <w14:schemeClr w14:val="tx1"/>
                  </w14:solidFill>
                </w14:textFill>
              </w:rPr>
              <w:t>1.8应用价值及推广途径</w:t>
            </w:r>
          </w:p>
          <w:p w14:paraId="6D29F4AF">
            <w:pPr>
              <w:spacing w:line="243" w:lineRule="auto"/>
              <w:rPr>
                <w:rFonts w:hint="eastAsia" w:ascii="宋体" w:eastAsia="宋体" w:cs="Calibri"/>
                <w:color w:val="000000" w:themeColor="text1"/>
                <w:sz w:val="24"/>
                <w:szCs w:val="21"/>
                <w:lang w:val="en-US" w:eastAsia="zh-CN"/>
                <w14:textFill>
                  <w14:solidFill>
                    <w14:schemeClr w14:val="tx1"/>
                  </w14:solidFill>
                </w14:textFill>
              </w:rPr>
            </w:pPr>
            <w:r>
              <w:rPr>
                <w:rFonts w:hint="eastAsia" w:ascii="宋体" w:eastAsia="宋体" w:cs="Calibri"/>
                <w:color w:val="000000" w:themeColor="text1"/>
                <w:sz w:val="24"/>
                <w:szCs w:val="21"/>
                <w:lang w:val="en-US" w:eastAsia="zh-CN"/>
                <w14:textFill>
                  <w14:solidFill>
                    <w14:schemeClr w14:val="tx1"/>
                  </w14:solidFill>
                </w14:textFill>
              </w:rPr>
              <w:t>本研究取得了较为理想的研究成果，并形成了文字级其他形式的资源包，包括研究报告和相关论文，汇编论文集、经典案例集、教学课例录像等，将小学英语教学中进行实践和推广。通过研究成果转化，形成在教学中切实可行的策略和框架。首先，转化为系列示范课，为全体小学英语教师提供参考；其次，转化为系列微课程，形成线上线下的互动和连通，扩大学生学习路径；再次，可以转化为思维导图集，为学生提供学习的支架，完善他们的知识体系，为他们深入学习和研究奠定基础。</w:t>
            </w:r>
          </w:p>
          <w:p w14:paraId="21B2E238">
            <w:pPr>
              <w:spacing w:line="243" w:lineRule="auto"/>
              <w:rPr>
                <w:rFonts w:hint="eastAsia" w:ascii="宋体" w:eastAsia="宋体" w:cs="Calibri"/>
                <w:color w:val="000000" w:themeColor="text1"/>
                <w:sz w:val="24"/>
                <w:szCs w:val="21"/>
                <w:lang w:val="en-US" w:eastAsia="zh-CN"/>
                <w14:textFill>
                  <w14:solidFill>
                    <w14:schemeClr w14:val="tx1"/>
                  </w14:solidFill>
                </w14:textFill>
              </w:rPr>
            </w:pPr>
          </w:p>
          <w:p w14:paraId="39712040">
            <w:pPr>
              <w:spacing w:line="244" w:lineRule="auto"/>
              <w:rPr>
                <w:rFonts w:ascii="Arial"/>
                <w:color w:val="000000" w:themeColor="text1"/>
                <w:sz w:val="21"/>
                <w14:textFill>
                  <w14:solidFill>
                    <w14:schemeClr w14:val="tx1"/>
                  </w14:solidFill>
                </w14:textFill>
              </w:rPr>
            </w:pPr>
          </w:p>
          <w:p w14:paraId="2087EF55">
            <w:pPr>
              <w:numPr>
                <w:ilvl w:val="0"/>
                <w:numId w:val="0"/>
              </w:numPr>
              <w:spacing w:line="360" w:lineRule="exact"/>
              <w:jc w:val="left"/>
              <w:rPr>
                <w:rFonts w:hint="eastAsia" w:ascii="Times New Roman" w:hAnsi="Times New Roman" w:eastAsia="宋体" w:cs="Times New Roman"/>
                <w:b/>
                <w:bCs/>
                <w:color w:val="000000" w:themeColor="text1"/>
                <w:lang w:val="en-US" w:eastAsia="zh-CN"/>
                <w14:textFill>
                  <w14:solidFill>
                    <w14:schemeClr w14:val="tx1"/>
                  </w14:solidFill>
                </w14:textFill>
              </w:rPr>
            </w:pPr>
            <w:r>
              <w:rPr>
                <w:rFonts w:ascii="宋体" w:hAnsi="宋体" w:eastAsia="宋体" w:cs="宋体"/>
                <w:color w:val="000000" w:themeColor="text1"/>
                <w:spacing w:val="-8"/>
                <w:sz w:val="24"/>
                <w:szCs w:val="24"/>
                <w14:textFill>
                  <w14:solidFill>
                    <w14:schemeClr w14:val="tx1"/>
                  </w14:solidFill>
                </w14:textFill>
              </w:rPr>
              <w:t>2、对课题实</w:t>
            </w:r>
            <w:r>
              <w:rPr>
                <w:rFonts w:ascii="宋体" w:hAnsi="宋体" w:eastAsia="宋体" w:cs="宋体"/>
                <w:color w:val="000000" w:themeColor="text1"/>
                <w:spacing w:val="-6"/>
                <w:sz w:val="24"/>
                <w:szCs w:val="24"/>
                <w14:textFill>
                  <w14:solidFill>
                    <w14:schemeClr w14:val="tx1"/>
                  </w14:solidFill>
                </w14:textFill>
              </w:rPr>
              <w:t>施</w:t>
            </w:r>
            <w:r>
              <w:rPr>
                <w:rFonts w:ascii="宋体" w:hAnsi="宋体" w:eastAsia="宋体" w:cs="宋体"/>
                <w:color w:val="000000" w:themeColor="text1"/>
                <w:spacing w:val="-4"/>
                <w:sz w:val="24"/>
                <w:szCs w:val="24"/>
                <w14:textFill>
                  <w14:solidFill>
                    <w14:schemeClr w14:val="tx1"/>
                  </w14:solidFill>
                </w14:textFill>
              </w:rPr>
              <w:t>和完成条件的论证： 负责人的研究水平、组织能力和时间保证；</w:t>
            </w:r>
            <w:r>
              <w:rPr>
                <w:rFonts w:ascii="宋体" w:hAnsi="宋体" w:eastAsia="宋体" w:cs="宋体"/>
                <w:color w:val="000000" w:themeColor="text1"/>
                <w:sz w:val="24"/>
                <w:szCs w:val="24"/>
                <w14:textFill>
                  <w14:solidFill>
                    <w14:schemeClr w14:val="tx1"/>
                  </w14:solidFill>
                </w14:textFill>
              </w:rPr>
              <w:t xml:space="preserve"> </w:t>
            </w:r>
            <w:r>
              <w:rPr>
                <w:rFonts w:ascii="宋体" w:hAnsi="宋体" w:eastAsia="宋体" w:cs="宋体"/>
                <w:color w:val="000000" w:themeColor="text1"/>
                <w:spacing w:val="-1"/>
                <w:sz w:val="24"/>
                <w:szCs w:val="24"/>
                <w14:textFill>
                  <w14:solidFill>
                    <w14:schemeClr w14:val="tx1"/>
                  </w14:solidFill>
                </w14:textFill>
              </w:rPr>
              <w:t>参与人员的研究水平和</w:t>
            </w:r>
            <w:r>
              <w:rPr>
                <w:rFonts w:ascii="宋体" w:hAnsi="宋体" w:eastAsia="宋体" w:cs="宋体"/>
                <w:color w:val="000000" w:themeColor="text1"/>
                <w:sz w:val="24"/>
                <w:szCs w:val="24"/>
                <w14:textFill>
                  <w14:solidFill>
                    <w14:schemeClr w14:val="tx1"/>
                  </w14:solidFill>
                </w14:textFill>
              </w:rPr>
              <w:t>时间保证；资料设备，科研手段等。</w:t>
            </w:r>
          </w:p>
          <w:p w14:paraId="1DE62326">
            <w:pPr>
              <w:numPr>
                <w:ilvl w:val="0"/>
                <w:numId w:val="0"/>
              </w:numPr>
              <w:spacing w:line="240" w:lineRule="auto"/>
              <w:jc w:val="left"/>
              <w:rPr>
                <w:rFonts w:hint="eastAsia" w:ascii="Times New Roman" w:hAnsi="Times New Roman" w:eastAsia="宋体" w:cs="Times New Roman"/>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en-US" w:eastAsia="zh-CN"/>
                <w14:textFill>
                  <w14:solidFill>
                    <w14:schemeClr w14:val="tx1"/>
                  </w14:solidFill>
                </w14:textFill>
              </w:rPr>
              <w:t>时间保障</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课题研究的主要负责人在课题正式开展研究之前，结合课题研究的任务与每个研究人员的实际情况，提前制定合理研究计划，并开展课题研究激励政策，能够充分调动课题研究成员的积极性。同时，课题研究小组会定期组织研讨会，将研究中存在的问题及时分析，提出相应的解决策略，保证课题研究按时完成。</w:t>
            </w:r>
          </w:p>
          <w:p w14:paraId="017C6D1D">
            <w:pPr>
              <w:numPr>
                <w:ilvl w:val="0"/>
                <w:numId w:val="0"/>
              </w:numPr>
              <w:spacing w:line="240" w:lineRule="auto"/>
              <w:jc w:val="left"/>
              <w:rPr>
                <w:rFonts w:hint="eastAsia" w:ascii="Times New Roman" w:hAnsi="Times New Roman" w:eastAsia="宋体" w:cs="Times New Roman"/>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en-US" w:eastAsia="zh-CN"/>
                <w14:textFill>
                  <w14:solidFill>
                    <w14:schemeClr w14:val="tx1"/>
                  </w14:solidFill>
                </w14:textFill>
              </w:rPr>
              <w:t>经费保障：</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课题组在开展课题研究之前，通过不同的渠道完成了课题配套经费的准备，并设立了专项资金使用制度，开展专款专用，保证资金的使用与课题相关。另外，还在资金中设置了课题学习项目，用来支持研究人员外出学习或开设专家讲座等活动，保证课题研究人员能工作，够掌握充足的资料，为推动研究进度奠定基础。</w:t>
            </w:r>
          </w:p>
          <w:p w14:paraId="673AA565">
            <w:pPr>
              <w:numPr>
                <w:ilvl w:val="0"/>
                <w:numId w:val="0"/>
              </w:numPr>
              <w:spacing w:line="240" w:lineRule="auto"/>
              <w:jc w:val="left"/>
              <w:rPr>
                <w:rFonts w:hint="eastAsia" w:ascii="Times New Roman" w:hAnsi="Times New Roman" w:eastAsia="宋体" w:cs="Times New Roman"/>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en-US" w:eastAsia="zh-CN"/>
                <w14:textFill>
                  <w14:solidFill>
                    <w14:schemeClr w14:val="tx1"/>
                  </w14:solidFill>
                </w14:textFill>
              </w:rPr>
              <w:t>科研手段：</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本课题在研究过程中主要采取文献资料法、问卷调查法、案例法等、观察法、行动法，保证了课题研究的真实性和准确性。</w:t>
            </w:r>
          </w:p>
          <w:p w14:paraId="7F8A49B4">
            <w:pPr>
              <w:spacing w:before="78" w:line="253" w:lineRule="auto"/>
              <w:ind w:left="116" w:right="170"/>
              <w:rPr>
                <w:rFonts w:ascii="宋体" w:hAnsi="宋体" w:eastAsia="宋体" w:cs="宋体"/>
                <w:color w:val="000000" w:themeColor="text1"/>
                <w:sz w:val="24"/>
                <w:szCs w:val="24"/>
                <w14:textFill>
                  <w14:solidFill>
                    <w14:schemeClr w14:val="tx1"/>
                  </w14:solidFill>
                </w14:textFill>
              </w:rPr>
            </w:pPr>
          </w:p>
        </w:tc>
      </w:tr>
    </w:tbl>
    <w:p w14:paraId="6EAB8C60">
      <w:pPr>
        <w:rPr>
          <w:rFonts w:ascii="Arial"/>
          <w:sz w:val="21"/>
        </w:rPr>
      </w:pPr>
    </w:p>
    <w:p w14:paraId="02A2E000">
      <w:pPr>
        <w:sectPr>
          <w:pgSz w:w="11905" w:h="16840"/>
          <w:pgMar w:top="1431" w:right="1680" w:bottom="0" w:left="1685" w:header="0" w:footer="0" w:gutter="0"/>
          <w:cols w:space="720" w:num="1"/>
        </w:sectPr>
      </w:pPr>
    </w:p>
    <w:p w14:paraId="3BB95172">
      <w:pPr>
        <w:spacing w:line="273" w:lineRule="auto"/>
        <w:rPr>
          <w:rFonts w:ascii="Arial"/>
          <w:sz w:val="21"/>
        </w:rPr>
      </w:pPr>
    </w:p>
    <w:p w14:paraId="4DC53A27">
      <w:pPr>
        <w:spacing w:before="78" w:line="216" w:lineRule="auto"/>
        <w:ind w:left="139"/>
        <w:rPr>
          <w:rFonts w:ascii="黑体" w:hAnsi="黑体" w:eastAsia="黑体" w:cs="黑体"/>
          <w:sz w:val="24"/>
          <w:szCs w:val="24"/>
        </w:rPr>
      </w:pPr>
      <w:r>
        <w:rPr>
          <w:rFonts w:ascii="黑体" w:hAnsi="黑体" w:eastAsia="黑体" w:cs="黑体"/>
          <w:spacing w:val="6"/>
          <w:sz w:val="24"/>
          <w:szCs w:val="24"/>
        </w:rPr>
        <w:t>四．实施</w:t>
      </w:r>
      <w:r>
        <w:rPr>
          <w:rFonts w:ascii="黑体" w:hAnsi="黑体" w:eastAsia="黑体" w:cs="黑体"/>
          <w:spacing w:val="5"/>
          <w:sz w:val="24"/>
          <w:szCs w:val="24"/>
        </w:rPr>
        <w:t>方</w:t>
      </w:r>
      <w:r>
        <w:rPr>
          <w:rFonts w:ascii="黑体" w:hAnsi="黑体" w:eastAsia="黑体" w:cs="黑体"/>
          <w:spacing w:val="3"/>
          <w:sz w:val="24"/>
          <w:szCs w:val="24"/>
        </w:rPr>
        <w:t>案(具体操作过程和研究方法)</w:t>
      </w:r>
    </w:p>
    <w:tbl>
      <w:tblPr>
        <w:tblStyle w:val="9"/>
        <w:tblW w:w="8394"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394"/>
      </w:tblGrid>
      <w:tr w14:paraId="12CD6D7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073" w:hRule="atLeast"/>
        </w:trPr>
        <w:tc>
          <w:tcPr>
            <w:tcW w:w="8394" w:type="dxa"/>
            <w:vAlign w:val="top"/>
          </w:tcPr>
          <w:p w14:paraId="25340E50">
            <w:pPr>
              <w:spacing w:before="33" w:line="220" w:lineRule="auto"/>
              <w:ind w:left="125"/>
              <w:rPr>
                <w:rFonts w:ascii="宋体" w:hAnsi="宋体" w:eastAsia="宋体" w:cs="宋体"/>
                <w:color w:val="000000" w:themeColor="text1"/>
                <w:sz w:val="24"/>
                <w:szCs w:val="24"/>
                <w14:textFill>
                  <w14:solidFill>
                    <w14:schemeClr w14:val="tx1"/>
                  </w14:solidFill>
                </w14:textFill>
              </w:rPr>
            </w:pPr>
            <w:r>
              <w:rPr>
                <w:rFonts w:ascii="Calibri" w:hAnsi="Calibri" w:eastAsia="Calibri" w:cs="Calibri"/>
                <w:color w:val="000000" w:themeColor="text1"/>
                <w:spacing w:val="2"/>
                <w:sz w:val="24"/>
                <w:szCs w:val="24"/>
                <w14:textFill>
                  <w14:solidFill>
                    <w14:schemeClr w14:val="tx1"/>
                  </w14:solidFill>
                </w14:textFill>
              </w:rPr>
              <w:t>1</w:t>
            </w:r>
            <w:r>
              <w:rPr>
                <w:rFonts w:ascii="Calibri" w:hAnsi="Calibri" w:eastAsia="Calibri" w:cs="Calibri"/>
                <w:color w:val="000000" w:themeColor="text1"/>
                <w:spacing w:val="1"/>
                <w:sz w:val="24"/>
                <w:szCs w:val="24"/>
                <w14:textFill>
                  <w14:solidFill>
                    <w14:schemeClr w14:val="tx1"/>
                  </w14:solidFill>
                </w14:textFill>
              </w:rPr>
              <w:t>.</w:t>
            </w:r>
            <w:r>
              <w:rPr>
                <w:rFonts w:ascii="宋体" w:hAnsi="宋体" w:eastAsia="宋体" w:cs="宋体"/>
                <w:color w:val="000000" w:themeColor="text1"/>
                <w:spacing w:val="1"/>
                <w:sz w:val="24"/>
                <w:szCs w:val="24"/>
                <w14:textFill>
                  <w14:solidFill>
                    <w14:schemeClr w14:val="tx1"/>
                  </w14:solidFill>
                </w14:textFill>
              </w:rPr>
              <w:t xml:space="preserve">实施计划(含 </w:t>
            </w:r>
            <w:r>
              <w:rPr>
                <w:rFonts w:ascii="Calibri" w:hAnsi="Calibri" w:eastAsia="Calibri" w:cs="Calibri"/>
                <w:color w:val="000000" w:themeColor="text1"/>
                <w:spacing w:val="1"/>
                <w:sz w:val="24"/>
                <w:szCs w:val="24"/>
                <w14:textFill>
                  <w14:solidFill>
                    <w14:schemeClr w14:val="tx1"/>
                  </w14:solidFill>
                </w14:textFill>
              </w:rPr>
              <w:t xml:space="preserve">1-3 </w:t>
            </w:r>
            <w:r>
              <w:rPr>
                <w:rFonts w:ascii="宋体" w:hAnsi="宋体" w:eastAsia="宋体" w:cs="宋体"/>
                <w:color w:val="000000" w:themeColor="text1"/>
                <w:spacing w:val="1"/>
                <w:sz w:val="24"/>
                <w:szCs w:val="24"/>
                <w14:textFill>
                  <w14:solidFill>
                    <w14:schemeClr w14:val="tx1"/>
                  </w14:solidFill>
                </w14:textFill>
              </w:rPr>
              <w:t>年时间的年度进展情况)。</w:t>
            </w:r>
          </w:p>
          <w:p w14:paraId="71B0B0EC">
            <w:pPr>
              <w:spacing w:line="259" w:lineRule="auto"/>
              <w:rPr>
                <w:rFonts w:ascii="Arial"/>
                <w:color w:val="000000" w:themeColor="text1"/>
                <w:sz w:val="21"/>
                <w14:textFill>
                  <w14:solidFill>
                    <w14:schemeClr w14:val="tx1"/>
                  </w14:solidFill>
                </w14:textFill>
              </w:rPr>
            </w:pPr>
          </w:p>
          <w:p w14:paraId="3B6B186C">
            <w:pPr>
              <w:numPr>
                <w:ilvl w:val="0"/>
                <w:numId w:val="0"/>
              </w:numPr>
              <w:spacing w:line="240" w:lineRule="auto"/>
              <w:jc w:val="left"/>
              <w:rPr>
                <w:rFonts w:hint="default" w:ascii="Times New Roman" w:hAnsi="Times New Roman" w:eastAsia="宋体" w:cs="Times New Roman"/>
                <w:color w:val="000000" w:themeColor="text1"/>
                <w:sz w:val="24"/>
                <w:szCs w:val="28"/>
                <w:lang w:val="en-US" w:eastAsia="zh-CN"/>
                <w14:textFill>
                  <w14:solidFill>
                    <w14:schemeClr w14:val="tx1"/>
                  </w14:solidFill>
                </w14:textFill>
              </w:rPr>
            </w:pP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 年 月</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 年</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 xml:space="preserve"> </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月研究前期准备：</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成立课题组，学习教科院文件，确立研究方向；制定具体研究方案，进行课题组成员责任分工。</w:t>
            </w:r>
          </w:p>
          <w:p w14:paraId="3C72E24C">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 理论学习阶段：</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研究</w:t>
            </w:r>
            <w:r>
              <w:rPr>
                <w:rFonts w:hint="eastAsia" w:ascii="宋体" w:hAnsi="宋体" w:eastAsia="宋体" w:cs="宋体"/>
                <w:color w:val="000000" w:themeColor="text1"/>
                <w:spacing w:val="-9"/>
                <w:sz w:val="24"/>
                <w:szCs w:val="24"/>
                <w:lang w:val="en-US" w:eastAsia="zh-CN"/>
                <w14:textFill>
                  <w14:solidFill>
                    <w14:schemeClr w14:val="tx1"/>
                  </w14:solidFill>
                </w14:textFill>
              </w:rPr>
              <w:t>单元整体教学设计</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：阅读相关文献，关注国内外研究动态及教育领域的研究动向，参加学术报告专家讲座；对案例进行理解学习；进行教学实践和反思。</w:t>
            </w:r>
          </w:p>
          <w:p w14:paraId="71B30EA2">
            <w:pPr>
              <w:numPr>
                <w:ilvl w:val="0"/>
                <w:numId w:val="0"/>
              </w:numPr>
              <w:spacing w:line="240" w:lineRule="auto"/>
              <w:jc w:val="left"/>
              <w:rPr>
                <w:rFonts w:hint="default" w:ascii="Times New Roman" w:hAnsi="Times New Roman" w:eastAsia="宋体" w:cs="Times New Roman"/>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深入研究课程标准，了解研究背景，认真钻研教材内容，深刻领悟</w:t>
            </w:r>
            <w:r>
              <w:rPr>
                <w:rFonts w:hint="eastAsia" w:ascii="宋体" w:hAnsi="宋体" w:eastAsia="宋体" w:cs="宋体"/>
                <w:color w:val="000000" w:themeColor="text1"/>
                <w:spacing w:val="-9"/>
                <w:sz w:val="24"/>
                <w:szCs w:val="24"/>
                <w:lang w:val="en-US" w:eastAsia="zh-CN"/>
                <w14:textFill>
                  <w14:solidFill>
                    <w14:schemeClr w14:val="tx1"/>
                  </w14:solidFill>
                </w14:textFill>
              </w:rPr>
              <w:t>单元整体教学设计的内涵和原则</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w:t>
            </w:r>
          </w:p>
          <w:p w14:paraId="1DFAF252">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月交流沟通阶段：</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认真研究课程标准，课题组内交流心得。</w:t>
            </w:r>
          </w:p>
          <w:p w14:paraId="1C250DF2">
            <w:pPr>
              <w:numPr>
                <w:ilvl w:val="0"/>
                <w:numId w:val="0"/>
              </w:numPr>
              <w:spacing w:line="240" w:lineRule="auto"/>
              <w:jc w:val="left"/>
              <w:rPr>
                <w:rFonts w:hint="default" w:ascii="Times New Roman" w:hAnsi="Times New Roman" w:eastAsia="宋体" w:cs="Times New Roman"/>
                <w:color w:val="000000" w:themeColor="text1"/>
                <w:sz w:val="24"/>
                <w:szCs w:val="28"/>
                <w:lang w:val="en-US" w:eastAsia="zh-CN"/>
                <w14:textFill>
                  <w14:solidFill>
                    <w14:schemeClr w14:val="tx1"/>
                  </w14:solidFill>
                </w14:textFill>
              </w:rPr>
            </w:pP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月现状调查阶段：</w:t>
            </w:r>
            <w:r>
              <w:rPr>
                <w:rFonts w:hint="eastAsia" w:ascii="宋体" w:hAnsi="宋体" w:eastAsia="宋体" w:cs="宋体"/>
                <w:color w:val="000000" w:themeColor="text1"/>
                <w:spacing w:val="-9"/>
                <w:sz w:val="24"/>
                <w:szCs w:val="24"/>
                <w:lang w:val="en-US" w:eastAsia="zh-CN"/>
                <w14:textFill>
                  <w14:solidFill>
                    <w14:schemeClr w14:val="tx1"/>
                  </w14:solidFill>
                </w14:textFill>
              </w:rPr>
              <w:t>析当前小学英语单元教学中存在的问题和落实新课标面临的困境</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w:t>
            </w:r>
            <w:r>
              <w:rPr>
                <w:rFonts w:hint="eastAsia" w:ascii="宋体" w:hAnsi="宋体" w:eastAsia="宋体" w:cs="宋体"/>
                <w:color w:val="000000" w:themeColor="text1"/>
                <w:spacing w:val="-9"/>
                <w:sz w:val="24"/>
                <w:szCs w:val="24"/>
                <w:lang w:val="en-US" w:eastAsia="zh-CN"/>
                <w14:textFill>
                  <w14:solidFill>
                    <w14:schemeClr w14:val="tx1"/>
                  </w14:solidFill>
                </w14:textFill>
              </w:rPr>
              <w:t>梳理出与小学生认识规律和学习特点相契合的单元整体教学设计策略</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并启动实践验证，收集相关数据进行统计分析；在校内反复实践，</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进行课例研磨，实践反思</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总结再实践反思总结，最终提炼观点，形成</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经验。</w:t>
            </w:r>
          </w:p>
          <w:p w14:paraId="298FC0C6">
            <w:pPr>
              <w:numPr>
                <w:ilvl w:val="0"/>
                <w:numId w:val="0"/>
              </w:numPr>
              <w:spacing w:line="240" w:lineRule="auto"/>
              <w:jc w:val="left"/>
              <w:rPr>
                <w:rFonts w:hint="eastAsia" w:ascii="Times New Roman" w:hAnsi="Times New Roman" w:eastAsia="宋体" w:cs="Times New Roman"/>
                <w:color w:val="000000" w:themeColor="text1"/>
                <w:sz w:val="24"/>
                <w:szCs w:val="28"/>
                <w:lang w:val="en-US" w:eastAsia="zh-CN"/>
                <w14:textFill>
                  <w14:solidFill>
                    <w14:schemeClr w14:val="tx1"/>
                  </w14:solidFill>
                </w14:textFill>
              </w:rPr>
            </w:pP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w:t>
            </w:r>
            <w:r>
              <w:rPr>
                <w:rFonts w:hint="default" w:ascii="Times New Roman" w:hAnsi="Times New Roman" w:eastAsia="宋体" w:cs="Times New Roman"/>
                <w:color w:val="000000" w:themeColor="text1"/>
                <w:sz w:val="24"/>
                <w:szCs w:val="28"/>
                <w:lang w:val="en-US" w:eastAsia="zh-CN"/>
                <w14:textFill>
                  <w14:solidFill>
                    <w14:schemeClr w14:val="tx1"/>
                  </w14:solidFill>
                </w14:textFill>
              </w:rPr>
              <w:t>——20</w:t>
            </w:r>
            <w:r>
              <w:rPr>
                <w:rFonts w:hint="eastAsia" w:ascii="Times New Roman" w:hAnsi="Times New Roman" w:eastAsia="宋体" w:cs="Times New Roman"/>
                <w:color w:val="000000" w:themeColor="text1"/>
                <w:sz w:val="24"/>
                <w:szCs w:val="28"/>
                <w:lang w:val="en-US" w:eastAsia="zh-CN"/>
                <w14:textFill>
                  <w14:solidFill>
                    <w14:schemeClr w14:val="tx1"/>
                  </w14:solidFill>
                </w14:textFill>
              </w:rPr>
              <w:t>2年 月总结提升阶段：课题组成员上展示课，收集听课专家老师意见，听取学生的建议，课题组讨论改进，上示范课，推广经验；将实施阶段总结的教学经验、教学设计、实施方法等总结整理成研究报告和工作报告，召开课题结题会，聘请专家前辈对研究成果进行评审和鉴定；</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做好结题准备，最终形成结题报告。</w:t>
            </w:r>
          </w:p>
          <w:p w14:paraId="3BB26A7E">
            <w:pPr>
              <w:spacing w:line="260" w:lineRule="auto"/>
              <w:rPr>
                <w:rFonts w:ascii="Arial"/>
                <w:color w:val="000000" w:themeColor="text1"/>
                <w:sz w:val="21"/>
                <w14:textFill>
                  <w14:solidFill>
                    <w14:schemeClr w14:val="tx1"/>
                  </w14:solidFill>
                </w14:textFill>
              </w:rPr>
            </w:pPr>
          </w:p>
          <w:p w14:paraId="6EBB37DF">
            <w:pPr>
              <w:numPr>
                <w:ilvl w:val="0"/>
                <w:numId w:val="0"/>
              </w:numPr>
              <w:spacing w:line="240" w:lineRule="auto"/>
              <w:jc w:val="left"/>
              <w:rPr>
                <w:rFonts w:hint="eastAsia" w:ascii="Times New Roman" w:hAnsi="Times New Roman" w:eastAsia="宋体" w:cs="Times New Roman"/>
                <w:b/>
                <w:bCs/>
                <w:color w:val="000000" w:themeColor="text1"/>
                <w:sz w:val="24"/>
                <w:szCs w:val="28"/>
                <w:lang w:val="en-US" w:eastAsia="zh-CN"/>
                <w14:textFill>
                  <w14:solidFill>
                    <w14:schemeClr w14:val="tx1"/>
                  </w14:solidFill>
                </w14:textFill>
              </w:rPr>
            </w:pPr>
            <w:r>
              <w:rPr>
                <w:rFonts w:hint="default" w:ascii="Times New Roman" w:hAnsi="Times New Roman" w:eastAsia="宋体" w:cs="Times New Roman"/>
                <w:b/>
                <w:bCs/>
                <w:color w:val="000000" w:themeColor="text1"/>
                <w:sz w:val="24"/>
                <w:szCs w:val="28"/>
                <w:lang w:val="en-US" w:eastAsia="zh-CN"/>
                <w14:textFill>
                  <w14:solidFill>
                    <w14:schemeClr w14:val="tx1"/>
                  </w14:solidFill>
                </w14:textFill>
              </w:rPr>
              <w:t>2.</w:t>
            </w:r>
            <w:r>
              <w:rPr>
                <w:rFonts w:hint="eastAsia" w:ascii="Times New Roman" w:hAnsi="Times New Roman" w:eastAsia="宋体" w:cs="Times New Roman"/>
                <w:b/>
                <w:bCs/>
                <w:color w:val="000000" w:themeColor="text1"/>
                <w:sz w:val="24"/>
                <w:szCs w:val="28"/>
                <w:lang w:val="en-US" w:eastAsia="zh-CN"/>
                <w14:textFill>
                  <w14:solidFill>
                    <w14:schemeClr w14:val="tx1"/>
                  </w14:solidFill>
                </w14:textFill>
              </w:rPr>
              <w:t>本课题的主要研究方法</w:t>
            </w:r>
          </w:p>
          <w:p w14:paraId="6779F248">
            <w:pPr>
              <w:numPr>
                <w:ilvl w:val="0"/>
                <w:numId w:val="0"/>
              </w:numPr>
              <w:spacing w:line="240" w:lineRule="auto"/>
              <w:jc w:val="left"/>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t>文献研究法</w:t>
            </w:r>
          </w:p>
          <w:p w14:paraId="0285B73E">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课题组成员认真钻研先进的教育理论，结合理论重新审视英语单元整体教学设计情况；通过学校图书馆和知网等途径查阅新课标和英语单元整体教学设计的相关文献，及时掌握国内外研究现状，分析、总结其理论基础。</w:t>
            </w:r>
          </w:p>
          <w:p w14:paraId="604C9795">
            <w:pPr>
              <w:numPr>
                <w:ilvl w:val="0"/>
                <w:numId w:val="0"/>
              </w:numPr>
              <w:spacing w:line="240" w:lineRule="auto"/>
              <w:jc w:val="left"/>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t>案例研究法</w:t>
            </w:r>
          </w:p>
          <w:p w14:paraId="55CDB207">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研究成熟课例，</w:t>
            </w:r>
            <w:r>
              <w:rPr>
                <w:rFonts w:hint="eastAsia" w:ascii="宋体" w:hAnsi="宋体" w:eastAsia="宋体" w:cs="宋体"/>
                <w:color w:val="000000" w:themeColor="text1"/>
                <w:spacing w:val="-9"/>
                <w:sz w:val="24"/>
                <w:szCs w:val="24"/>
                <w:lang w:val="en-US" w:eastAsia="zh-CN"/>
                <w14:textFill>
                  <w14:solidFill>
                    <w14:schemeClr w14:val="tx1"/>
                  </w14:solidFill>
                </w14:textFill>
              </w:rPr>
              <w:t>基于单元整体教学设计概念和内涵的解读，</w:t>
            </w:r>
            <w:r>
              <w:rPr>
                <w:rFonts w:hint="eastAsia" w:ascii="Times New Roman" w:hAnsi="Times New Roman" w:eastAsia="宋体" w:cs="Times New Roman"/>
                <w:color w:val="000000" w:themeColor="text1"/>
                <w:sz w:val="24"/>
                <w:szCs w:val="28"/>
                <w:lang w:val="zh-CN" w:eastAsia="zh-CN"/>
                <w14:textFill>
                  <w14:solidFill>
                    <w14:schemeClr w14:val="tx1"/>
                  </w14:solidFill>
                </w14:textFill>
              </w:rPr>
              <w:t>总结小学英语单元整体教学设计的特征，并找到影响教学设计的因素，为接下来的课题研究提供实践参考。</w:t>
            </w:r>
          </w:p>
          <w:p w14:paraId="01933D20">
            <w:pPr>
              <w:numPr>
                <w:ilvl w:val="0"/>
                <w:numId w:val="0"/>
              </w:numPr>
              <w:spacing w:line="240" w:lineRule="auto"/>
              <w:jc w:val="left"/>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t>访谈法</w:t>
            </w:r>
          </w:p>
          <w:p w14:paraId="6DF9DC58">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课题组成员在集体教研活动中与老师们交流英语单元整体教学设计的情况，多听取老师的看法，对目前课堂教学的现状有一个准确的认识。</w:t>
            </w:r>
          </w:p>
          <w:p w14:paraId="1127C963">
            <w:pPr>
              <w:numPr>
                <w:ilvl w:val="0"/>
                <w:numId w:val="0"/>
              </w:numPr>
              <w:spacing w:line="240" w:lineRule="auto"/>
              <w:jc w:val="left"/>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t>课堂观察法</w:t>
            </w:r>
          </w:p>
          <w:p w14:paraId="4258446D">
            <w:pPr>
              <w:numPr>
                <w:ilvl w:val="0"/>
                <w:numId w:val="0"/>
              </w:numPr>
              <w:spacing w:line="240" w:lineRule="auto"/>
              <w:jc w:val="left"/>
              <w:rPr>
                <w:rFonts w:hint="eastAsia" w:ascii="Times New Roman" w:hAnsi="Times New Roman" w:eastAsia="宋体" w:cs="Times New Roman"/>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课题组成员用课堂实践为基础，反思单元教学设计过程和教学过程，观察学生在教学中的表现，不断积累总结经验。</w:t>
            </w:r>
          </w:p>
          <w:p w14:paraId="136FF2DF">
            <w:pPr>
              <w:numPr>
                <w:ilvl w:val="0"/>
                <w:numId w:val="0"/>
              </w:numPr>
              <w:spacing w:line="240" w:lineRule="auto"/>
              <w:jc w:val="left"/>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pPr>
            <w:r>
              <w:rPr>
                <w:rFonts w:hint="eastAsia" w:ascii="Times New Roman" w:hAnsi="Times New Roman" w:eastAsia="宋体" w:cs="Times New Roman"/>
                <w:b/>
                <w:bCs/>
                <w:color w:val="000000" w:themeColor="text1"/>
                <w:sz w:val="24"/>
                <w:szCs w:val="28"/>
                <w:lang w:val="zh-CN" w:eastAsia="zh-CN"/>
                <w14:textFill>
                  <w14:solidFill>
                    <w14:schemeClr w14:val="tx1"/>
                  </w14:solidFill>
                </w14:textFill>
              </w:rPr>
              <w:t>行动研究法</w:t>
            </w:r>
          </w:p>
          <w:p w14:paraId="7D113276">
            <w:pPr>
              <w:numPr>
                <w:ilvl w:val="0"/>
                <w:numId w:val="0"/>
              </w:numPr>
              <w:spacing w:line="240" w:lineRule="auto"/>
              <w:jc w:val="left"/>
              <w:rPr>
                <w:rFonts w:hint="eastAsia" w:ascii="Times New Roman" w:hAnsi="Times New Roman" w:eastAsia="宋体" w:cs="Times New Roman"/>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color w:val="000000" w:themeColor="text1"/>
                <w:sz w:val="24"/>
                <w:szCs w:val="28"/>
                <w:lang w:val="zh-CN" w:eastAsia="zh-CN"/>
                <w14:textFill>
                  <w14:solidFill>
                    <w14:schemeClr w14:val="tx1"/>
                  </w14:solidFill>
                </w14:textFill>
              </w:rPr>
              <w:t>课题组成员及各位老师在教学过程中，边实践，边探索，边检验，边完善，边归纳，边总结，将研究和实践紧密结合起来，进而探索出适合培养学生学习能力和核心素养的英语单元整体教学设计策略并实践。</w:t>
            </w:r>
          </w:p>
          <w:p w14:paraId="56A01FA5">
            <w:pPr>
              <w:spacing w:before="78" w:line="219" w:lineRule="auto"/>
              <w:ind w:left="118"/>
              <w:rPr>
                <w:rFonts w:ascii="宋体" w:hAnsi="宋体" w:eastAsia="宋体" w:cs="宋体"/>
                <w:color w:val="000000" w:themeColor="text1"/>
                <w:sz w:val="24"/>
                <w:szCs w:val="24"/>
                <w14:textFill>
                  <w14:solidFill>
                    <w14:schemeClr w14:val="tx1"/>
                  </w14:solidFill>
                </w14:textFill>
              </w:rPr>
            </w:pPr>
          </w:p>
        </w:tc>
      </w:tr>
    </w:tbl>
    <w:p w14:paraId="180FB890">
      <w:pPr>
        <w:rPr>
          <w:rFonts w:ascii="Arial"/>
          <w:sz w:val="21"/>
        </w:rPr>
      </w:pPr>
    </w:p>
    <w:p w14:paraId="782AA789">
      <w:pPr>
        <w:sectPr>
          <w:pgSz w:w="11905" w:h="16840"/>
          <w:pgMar w:top="1431" w:right="1785" w:bottom="0" w:left="1685" w:header="0" w:footer="0" w:gutter="0"/>
          <w:cols w:space="720" w:num="1"/>
        </w:sectPr>
      </w:pPr>
    </w:p>
    <w:p w14:paraId="639A750F">
      <w:pPr>
        <w:rPr>
          <w:rFonts w:hint="eastAsia" w:ascii="Arial" w:eastAsia="宋体"/>
          <w:sz w:val="21"/>
          <w:lang w:eastAsia="zh-CN"/>
        </w:rPr>
      </w:pPr>
      <w:r>
        <w:rPr>
          <w:rFonts w:hint="eastAsia" w:ascii="Arial" w:eastAsia="宋体"/>
          <w:sz w:val="21"/>
          <w:lang w:eastAsia="zh-CN"/>
        </w:rPr>
        <w:drawing>
          <wp:inline distT="0" distB="0" distL="114300" distR="114300">
            <wp:extent cx="5417820" cy="3009900"/>
            <wp:effectExtent l="0" t="0" r="11430" b="0"/>
            <wp:docPr id="1" name="图片 1" descr="周佳丽公众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周佳丽公众号二维码"/>
                    <pic:cNvPicPr>
                      <a:picLocks noChangeAspect="1"/>
                    </pic:cNvPicPr>
                  </pic:nvPicPr>
                  <pic:blipFill>
                    <a:blip r:embed="rId6"/>
                    <a:stretch>
                      <a:fillRect/>
                    </a:stretch>
                  </pic:blipFill>
                  <pic:spPr>
                    <a:xfrm>
                      <a:off x="0" y="0"/>
                      <a:ext cx="5417820" cy="3009900"/>
                    </a:xfrm>
                    <a:prstGeom prst="rect">
                      <a:avLst/>
                    </a:prstGeom>
                  </pic:spPr>
                </pic:pic>
              </a:graphicData>
            </a:graphic>
          </wp:inline>
        </w:drawing>
      </w:r>
      <w:bookmarkStart w:id="0" w:name="_GoBack"/>
      <w:bookmarkEnd w:id="0"/>
    </w:p>
    <w:sectPr>
      <w:pgSz w:w="11905" w:h="16840"/>
      <w:pgMar w:top="1426" w:right="1680" w:bottom="0" w:left="1685"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DE8D7EB"/>
    <w:multiLevelType w:val="singleLevel"/>
    <w:tmpl w:val="6DE8D7EB"/>
    <w:lvl w:ilvl="0" w:tentative="0">
      <w:start w:val="2"/>
      <w:numFmt w:val="chineseCounting"/>
      <w:suff w:val="nothing"/>
      <w:lvlText w:val="第%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TlkYTk0ZGVhNzVjM2NmNWQ5NjMwYjY5MWYyZDg0YjQifQ=="/>
  </w:docVars>
  <w:rsids>
    <w:rsidRoot w:val="00000000"/>
    <w:rsid w:val="007E699D"/>
    <w:rsid w:val="00D90941"/>
    <w:rsid w:val="2ABC486D"/>
    <w:rsid w:val="3DA50AA7"/>
    <w:rsid w:val="6FD004DB"/>
    <w:rsid w:val="7F82180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next w:val="4"/>
    <w:qFormat/>
    <w:uiPriority w:val="0"/>
    <w:pPr>
      <w:adjustRightInd w:val="0"/>
      <w:jc w:val="left"/>
      <w:textAlignment w:val="baseline"/>
    </w:pPr>
    <w:rPr>
      <w:szCs w:val="20"/>
    </w:rPr>
  </w:style>
  <w:style w:type="paragraph" w:styleId="4">
    <w:name w:val="index 8"/>
    <w:basedOn w:val="1"/>
    <w:next w:val="1"/>
    <w:qFormat/>
    <w:uiPriority w:val="0"/>
    <w:pPr>
      <w:ind w:left="2940"/>
    </w:pPr>
  </w:style>
  <w:style w:type="paragraph" w:styleId="5">
    <w:name w:val="Body Text Indent"/>
    <w:basedOn w:val="1"/>
    <w:next w:val="1"/>
    <w:unhideWhenUsed/>
    <w:qFormat/>
    <w:uiPriority w:val="99"/>
    <w:pPr>
      <w:widowControl/>
      <w:spacing w:beforeLines="0" w:afterLines="0"/>
      <w:ind w:firstLine="420"/>
    </w:pPr>
    <w:rPr>
      <w:rFonts w:hint="eastAsia" w:ascii="Times New Roman" w:hAnsi="Times New Roman"/>
      <w:color w:val="000000"/>
      <w:sz w:val="21"/>
      <w:szCs w:val="20"/>
    </w:rPr>
  </w:style>
  <w:style w:type="paragraph" w:styleId="6">
    <w:name w:val="Body Text First Indent 2"/>
    <w:basedOn w:val="5"/>
    <w:qFormat/>
    <w:uiPriority w:val="0"/>
    <w:pPr>
      <w:ind w:firstLine="420" w:firstLineChars="200"/>
    </w:pPr>
  </w:style>
  <w:style w:type="table" w:customStyle="1" w:styleId="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Pages>
  <Words>6449</Words>
  <Characters>6513</Characters>
  <TotalTime>2</TotalTime>
  <ScaleCrop>false</ScaleCrop>
  <LinksUpToDate>false</LinksUpToDate>
  <CharactersWithSpaces>6775</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2023-02-23T18:49:00Z</dcterms:created>
  <dc:creator>xufan</dc:creator>
  <cp:lastModifiedBy>老根</cp:lastModifiedBy>
  <dcterms:modified xsi:type="dcterms:W3CDTF">2024-09-21T01:10:47Z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2023-03-31T13:04:40Z</vt:filetime>
  </property>
  <property fmtid="{D5CDD505-2E9C-101B-9397-08002B2CF9AE}" pid="4" name="KSOProductBuildVer">
    <vt:lpwstr>2052-12.1.0.18276</vt:lpwstr>
  </property>
  <property fmtid="{D5CDD505-2E9C-101B-9397-08002B2CF9AE}" pid="5" name="ICV">
    <vt:lpwstr>989D218E67784E20A9B8BC2D5E229237_13</vt:lpwstr>
  </property>
</Properties>
</file>