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pPr w:leftFromText="180" w:rightFromText="180" w:vertAnchor="text" w:horzAnchor="page" w:tblpXSpec="center" w:tblpY="60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6"/>
      </w:tblGrid>
      <w:tr w14:paraId="54A8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9606" w:type="dxa"/>
            <w:noWrap w:val="0"/>
            <w:vAlign w:val="center"/>
          </w:tcPr>
          <w:p w14:paraId="3228431D">
            <w:pPr>
              <w:jc w:val="left"/>
              <w:rPr>
                <w:rFonts w:ascii="Times New Roman" w:hAnsi="Times New Roman" w:eastAsia="黑体" w:cs="Times New Roman"/>
                <w:sz w:val="28"/>
                <w:szCs w:val="28"/>
              </w:rPr>
            </w:pPr>
            <w:r>
              <w:rPr>
                <w:rFonts w:ascii="Times New Roman" w:hAnsi="Times New Roman" w:eastAsia="黑体" w:cs="Times New Roman"/>
                <w:sz w:val="32"/>
                <w:szCs w:val="32"/>
              </w:rPr>
              <w:t>二、案例内容</w:t>
            </w:r>
          </w:p>
        </w:tc>
      </w:tr>
      <w:tr w14:paraId="2C3B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9606" w:type="dxa"/>
            <w:noWrap w:val="0"/>
            <w:vAlign w:val="center"/>
          </w:tcPr>
          <w:p w14:paraId="323FD99D">
            <w:pPr>
              <w:pageBreakBefore w:val="0"/>
              <w:widowControl w:val="0"/>
              <w:numPr>
                <w:ilvl w:val="0"/>
                <w:numId w:val="1"/>
              </w:numPr>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摘要</w:t>
            </w:r>
          </w:p>
          <w:p w14:paraId="09DD06E0">
            <w:pPr>
              <w:pageBreakBefore w:val="0"/>
              <w:widowControl w:val="0"/>
              <w:kinsoku/>
              <w:wordWrap/>
              <w:overflowPunct/>
              <w:topLinePunct w:val="0"/>
              <w:autoSpaceDE/>
              <w:autoSpaceDN/>
              <w:bidi w:val="0"/>
              <w:adjustRightInd/>
              <w:snapToGrid/>
              <w:spacing w:line="240" w:lineRule="auto"/>
              <w:ind w:firstLine="362" w:firstLineChars="151"/>
              <w:textAlignment w:val="auto"/>
              <w:rPr>
                <w:rFonts w:hint="eastAsia" w:ascii="仿宋" w:hAnsi="仿宋" w:eastAsia="仿宋" w:cs="仿宋"/>
                <w:bCs/>
                <w:color w:val="auto"/>
                <w:sz w:val="24"/>
                <w:szCs w:val="24"/>
                <w:highlight w:val="none"/>
                <w:u w:val="wave" w:color="FF0000"/>
              </w:rPr>
            </w:pPr>
            <w:r>
              <w:rPr>
                <w:sz w:val="24"/>
              </w:rPr>
              <mc:AlternateContent>
                <mc:Choice Requires="wps">
                  <w:drawing>
                    <wp:anchor distT="0" distB="0" distL="114300" distR="114300" simplePos="0" relativeHeight="251659264" behindDoc="0" locked="0" layoutInCell="1" allowOverlap="1">
                      <wp:simplePos x="0" y="0"/>
                      <wp:positionH relativeFrom="column">
                        <wp:posOffset>1111250</wp:posOffset>
                      </wp:positionH>
                      <wp:positionV relativeFrom="paragraph">
                        <wp:posOffset>850265</wp:posOffset>
                      </wp:positionV>
                      <wp:extent cx="1828800" cy="1828800"/>
                      <wp:effectExtent l="0" t="0" r="0" b="0"/>
                      <wp:wrapNone/>
                      <wp:docPr id="1" name="矩形 1" descr="7b0a2020202022776f7264617274223a2022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25002104&quot;,&quot;origin&quot;:0,&quot;type&quot;:&quot;wordart&quot;,&quot;user&quot;:&quot;628487989&quot;}"/>
                            </s:tag>
                          </a:ext>
                        </a:extLst>
                      </wp:cNvGraphicFramePr>
                      <a:graphic xmlns:a="http://schemas.openxmlformats.org/drawingml/2006/main">
                        <a:graphicData uri="http://schemas.microsoft.com/office/word/2010/wordprocessingShape">
                          <wps:wsp>
                            <wps:cNvSpPr/>
                            <wps:spPr>
                              <a:xfrm>
                                <a:off x="1910080" y="2773045"/>
                                <a:ext cx="1828800" cy="1828800"/>
                              </a:xfrm>
                              <a:prstGeom prst="rect">
                                <a:avLst/>
                              </a:prstGeom>
                              <a:noFill/>
                              <a:ln/>
                            </wps:spPr>
                            <wps:style>
                              <a:lnRef idx="0">
                                <a:schemeClr val="accent1"/>
                              </a:lnRef>
                              <a:fillRef idx="0">
                                <a:schemeClr val="accent1"/>
                              </a:fillRef>
                              <a:effectRef idx="0">
                                <a:schemeClr val="accent1"/>
                              </a:effectRef>
                              <a:fontRef idx="minor">
                                <a:schemeClr val="dk1"/>
                              </a:fontRef>
                            </wps:style>
                            <wps:txbx>
                              <w:txbxContent>
                                <w:p w14:paraId="6129C775">
                                  <w:pPr>
                                    <w:rPr>
                                      <w:rFonts w:hint="default" w:ascii="汉仪唐美人简" w:hAnsi="汉仪唐美人简" w:eastAsia="宋体" w:cs="汉仪唐美人简"/>
                                      <w:b/>
                                      <w:bCs/>
                                      <w:color w:val="4F81BD" w:themeColor="accent1"/>
                                      <w:sz w:val="160"/>
                                      <w:szCs w:val="160"/>
                                      <w:lang w:eastAsia="zh-CN"/>
                                      <w14:shadow w14:blurRad="50800" w14:dist="38100" w14:dir="2700000" w14:sx="100000" w14:sy="100000" w14:kx="0" w14:ky="0" w14:algn="tl"/>
                                      <w14:textOutline w14:w="28575" w14:cmpd="sng">
                                        <w14:solidFill>
                                          <w14:schemeClr w14:val="bg1"/>
                                        </w14:solidFill>
                                        <w14:prstDash w14:val="solid"/>
                                        <w14:round/>
                                      </w14:textOutline>
                                      <w14:textFill>
                                        <w14:solidFill>
                                          <w14:schemeClr w14:val="accent1"/>
                                        </w14:solidFill>
                                      </w14:textFill>
                                    </w:rPr>
                                  </w:pPr>
                                </w:p>
                              </w:txbxContent>
                            </wps:txbx>
                            <wps:bodyPr wrap="none" lIns="90170" tIns="46990" rIns="90170" bIns="46990" anchor="t">
                              <a:spAutoFit/>
                              <a:scene3d>
                                <a:camera prst="orthographicFront"/>
                                <a:lightRig rig="threePt" dir="t"/>
                              </a:scene3d>
                            </wps:bodyPr>
                          </wps:wsp>
                        </a:graphicData>
                      </a:graphic>
                    </wp:anchor>
                  </w:drawing>
                </mc:Choice>
                <mc:Fallback>
                  <w:pict>
                    <v:rect id="_x0000_s1026" o:spid="_x0000_s1026" o:spt="1" alt="7b0a2020202022776f7264617274223a2022220a7d0a" style="position:absolute;left:0pt;margin-left:87.5pt;margin-top:66.95pt;height:144pt;width:144pt;mso-wrap-style:none;z-index:251659264;mso-width-relative:page;mso-height-relative:page;" filled="f" stroked="f" coordsize="21600,21600" o:gfxdata="UEsDBAoAAAAAAIdO4kAAAAAAAAAAAAAAAAAEAAAAZHJzL1BLAwQUAAAACACHTuJAHxGhfNQAAAAL&#10;AQAADwAAAGRycy9kb3ducmV2LnhtbE1PQU7DMBC8I/EHa5G4UTsNLU2I0wNSH0BpObv2EkfE6xC7&#10;afk9ywluMzuj2Zlmew2DmHFKfSQNxUKBQLLR9dRpOLztHjYgUjbkzBAJNXxjgm17e9OY2sULveK8&#10;z53gEEq10eBzHmspk/UYTFrEEYm1jzgFk5lOnXSTuXB4GORSqbUMpif+4M2ILx7t5/4cNJRfg/Xv&#10;Uh1W1sZjdZyrzbzLWt/fFeoZRMZr/jPDb32uDi13OsUzuSQG5k8r3pIZlGUFgh2P65IvJwbLogLZ&#10;NvL/hvYHUEsDBBQAAAAIAIdO4kB1TlfMIAIAACkEAAAOAAAAZHJzL2Uyb0RvYy54bWytU1GK2zAQ&#10;/S/0DkL/jRUnjR0TZymElEJpQ7c9gCLLsUCWxEiJndMU+tdD9Dil1+jI9u6G7c9+1AZ7RjO8mfdm&#10;tLnrW00uEryypqTzGaNEGmErZU4l/fZ1/yanxAduKq6tkSW9Sk/vtq9fbTpXyNQ2VlcSCIIYX3Su&#10;pE0IrkgSLxrZcj+zThoM1hZaHtCFU1IB7xC91UnK2CrpLFQOrJDe4+luDNIJEV4CaOtaCbmz4txK&#10;E0ZUkJoHpOQb5TzdDt3WtRThc117GYguKTINwxeLoH2M32S74cUJuGuUmFrgL2nhGaeWK4NFH6F2&#10;PHByBvUPVKsEWG/rMBO2TUYigyLIYs6eaXPfcCcHLii1d4+i+/8HKz5dDkBUhZtAieEtDvzP95+/&#10;f/0g6FfSC9QqOzKesulNs2xVZ+lquZpnabZM00WM4cN4VjEeBe2cLxD33h1g8jyaUZ2+hjb+kTfp&#10;seR6zliOo7iWFHEXbPl2HIjsAxExIU/znGGCwIwHBzGTJygHPryXtiXRKCngxIdB8MtHH8bUh5RY&#10;2di90hrPeaFNDMdmx/aiFfpjj6fRPNrqitJ0uBslNXgVKNEfDEq/ZvMsrtLgLFfrNTpwGzneRrgR&#10;jUURx668e3cO2ELsjBdeSCMXVTQFSg98ImEhNHZayj1YE0ZVtDo14Ys6EVB4VUMDUh4CTkkN8JHM&#10;DeRAbOQwscQNGlIm4Liit/6Q9XTDt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xGhfNQAAAAL&#10;AQAADwAAAAAAAAABACAAAAAiAAAAZHJzL2Rvd25yZXYueG1sUEsBAhQAFAAAAAgAh07iQHVOV8wg&#10;AgAAKQQAAA4AAAAAAAAAAQAgAAAAIwEAAGRycy9lMm9Eb2MueG1sUEsFBgAAAAAGAAYAWQEAALUF&#10;AAAAAA==&#10;">
                      <v:fill on="f" focussize="0,0"/>
                      <v:stroke on="f"/>
                      <v:imagedata o:title=""/>
                      <o:lock v:ext="edit" aspectratio="f"/>
                      <v:textbox inset="7.1pt,3.7pt,7.1pt,3.7pt" style="mso-fit-shape-to-text:t;">
                        <w:txbxContent>
                          <w:p w14:paraId="6129C775">
                            <w:pPr>
                              <w:rPr>
                                <w:rFonts w:hint="default" w:ascii="汉仪唐美人简" w:hAnsi="汉仪唐美人简" w:eastAsia="宋体" w:cs="汉仪唐美人简"/>
                                <w:b/>
                                <w:bCs/>
                                <w:color w:val="4F81BD" w:themeColor="accent1"/>
                                <w:sz w:val="160"/>
                                <w:szCs w:val="160"/>
                                <w:lang w:eastAsia="zh-CN"/>
                                <w14:shadow w14:blurRad="50800" w14:dist="38100" w14:dir="2700000" w14:sx="100000" w14:sy="100000" w14:kx="0" w14:ky="0" w14:algn="tl"/>
                                <w14:textOutline w14:w="28575" w14:cmpd="sng">
                                  <w14:solidFill>
                                    <w14:schemeClr w14:val="bg1"/>
                                  </w14:solidFill>
                                  <w14:prstDash w14:val="solid"/>
                                  <w14:round/>
                                </w14:textOutline>
                                <w14:textFill>
                                  <w14:solidFill>
                                    <w14:schemeClr w14:val="accent1"/>
                                  </w14:solidFill>
                                </w14:textFill>
                              </w:rPr>
                            </w:pPr>
                          </w:p>
                        </w:txbxContent>
                      </v:textbox>
                    </v:rect>
                  </w:pict>
                </mc:Fallback>
              </mc:AlternateContent>
            </w:r>
            <w:r>
              <w:rPr>
                <w:rFonts w:hint="eastAsia" w:ascii="仿宋" w:hAnsi="仿宋" w:eastAsia="仿宋" w:cs="仿宋"/>
                <w:bCs/>
                <w:color w:val="auto"/>
                <w:sz w:val="24"/>
                <w:szCs w:val="24"/>
                <w:highlight w:val="none"/>
                <w:u w:val="wave" w:color="FF0000"/>
              </w:rPr>
              <w:t>我国教育部门所推进“课程思政”教育方针对现有高校各学科进行不断优化，重新构建专业课程教学体系，将课堂转化为学生思想政治教育的重要阵地。本研究主要针对学前专业声乐课程开展“课程思政”建设，需始终围绕“立德树人”目标，探索声乐课程思政教育的新方法，将思政工作贯彻落实到声乐课程教学的日常中，对学生实现“立德树人”的根本目标。</w:t>
            </w:r>
          </w:p>
          <w:p w14:paraId="696F14FB">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（二）背景与问题的提出</w:t>
            </w:r>
          </w:p>
          <w:p w14:paraId="32326640">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
                <w:color w:val="auto"/>
                <w:sz w:val="24"/>
                <w:szCs w:val="24"/>
              </w:rPr>
            </w:pPr>
            <w:r>
              <w:rPr>
                <w:rFonts w:hint="eastAsia" w:ascii="仿宋" w:hAnsi="仿宋" w:eastAsia="仿宋" w:cs="仿宋"/>
                <w:bCs/>
                <w:color w:val="auto"/>
                <w:sz w:val="24"/>
                <w:szCs w:val="24"/>
              </w:rPr>
              <w:t>2020年我国教育部门通过颁布《高等学校课程思政建设指导纲要》，请明确规定了高校课程思政建设思路及开展中的具体要求，将学科德育建设工作与课程思政建设紧密联系，深化现有学科德育建设工作。在推进课程思政建设工作中，专业课教师需要履行教书育人责任，促进思政课教育与专业课教育的协同进行，进而打造出适用于全员学习的德育育人局面。此外在引导学生进行专业课学习的过程中，需要将课程思政建设立足于思维方法和教学理念的革新，寻找专业课教育与思政教育之间的契合点，转化课程思政建设中的话语体系，帮助学生实现自我觉悟达到思政育人的目的。</w:t>
            </w:r>
          </w:p>
          <w:p w14:paraId="4070E75B">
            <w:pPr>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仿宋" w:hAnsi="仿宋" w:eastAsia="仿宋" w:cs="仿宋"/>
                <w:bCs/>
                <w:color w:val="auto"/>
                <w:sz w:val="24"/>
                <w:szCs w:val="24"/>
              </w:rPr>
            </w:pPr>
            <w:r>
              <w:rPr>
                <w:rFonts w:hint="eastAsia" w:ascii="仿宋" w:hAnsi="仿宋" w:eastAsia="仿宋" w:cs="仿宋"/>
                <w:b/>
                <w:color w:val="auto"/>
                <w:sz w:val="24"/>
                <w:szCs w:val="24"/>
              </w:rPr>
              <w:t>（</w:t>
            </w:r>
            <w:r>
              <w:rPr>
                <w:rFonts w:hint="eastAsia" w:ascii="仿宋" w:hAnsi="仿宋" w:eastAsia="仿宋" w:cs="仿宋"/>
                <w:bCs/>
                <w:color w:val="auto"/>
                <w:sz w:val="24"/>
                <w:szCs w:val="24"/>
              </w:rPr>
              <w:t>三）问题解决的策略</w:t>
            </w:r>
          </w:p>
          <w:p w14:paraId="596B6626">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当前高校在开展思政德育育人中，往往采用枯燥的思政说教形式该形式与现实社会中的道德需求相脱轨，难做到让学生入耳入脑入心。</w:t>
            </w:r>
            <w:r>
              <w:rPr>
                <w:rFonts w:hint="eastAsia" w:ascii="仿宋" w:hAnsi="仿宋" w:eastAsia="仿宋" w:cs="仿宋"/>
                <w:bCs/>
                <w:color w:val="auto"/>
                <w:sz w:val="24"/>
                <w:szCs w:val="24"/>
                <w:lang w:val="en-US" w:eastAsia="zh-CN"/>
              </w:rPr>
              <w:t>为</w:t>
            </w:r>
            <w:r>
              <w:rPr>
                <w:rFonts w:hint="eastAsia" w:ascii="仿宋" w:hAnsi="仿宋" w:eastAsia="仿宋" w:cs="仿宋"/>
                <w:bCs/>
                <w:color w:val="auto"/>
                <w:sz w:val="24"/>
                <w:szCs w:val="24"/>
              </w:rPr>
              <w:t>改善这一现状</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对于学前教育专业中所开展的声乐课程，教师需要致力于培养学生的艺术审美情操，教学中可以以课程思政为导向开展教学。同时还需将专业知识与课程思政精神紧密结合，达到文化育人的艺术特征。</w:t>
            </w:r>
          </w:p>
          <w:p w14:paraId="2C2CF890">
            <w:pPr>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bCs/>
                <w:color w:val="auto"/>
                <w:sz w:val="24"/>
                <w:szCs w:val="24"/>
              </w:rPr>
            </w:pPr>
            <w:r>
              <w:drawing>
                <wp:inline distT="0" distB="0" distL="114300" distR="114300">
                  <wp:extent cx="5082540" cy="2743200"/>
                  <wp:effectExtent l="0" t="0" r="381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082540" cy="2743200"/>
                          </a:xfrm>
                          <a:prstGeom prst="rect">
                            <a:avLst/>
                          </a:prstGeom>
                          <a:noFill/>
                          <a:ln>
                            <a:noFill/>
                          </a:ln>
                        </pic:spPr>
                      </pic:pic>
                    </a:graphicData>
                  </a:graphic>
                </wp:inline>
              </w:drawing>
            </w:r>
          </w:p>
          <w:p w14:paraId="41331E4D">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在通过学习《春天的故事》该歌曲时，教师可以带你去针对歌曲所诞生的背景进行了解，让学生了解到该首歌曲是在1992年邓小平同志在南方谈话之后，肯定了我国数十年改革开放的大体方针，进而更好的面对当时极其复杂的国际及国内形势，为我实现民族复兴发展建立牢固的基础。《春天的故事》便在此背景下应运而生，其歌颂了我国改革开放的决心以及中华人民共和国各族人民共同建设美好家园的期望，同时歌曲中还传达了当代青年人不辱使命、建设美好家园的责任感。通过在教学中以“课程思政”的方式开展综合育人，可以让学生在对声乐课程有着大致了解的基础上，提高学生的艺术欣赏能力、领悟能力和实践能力，促进学生智力和德育的协同发展。</w:t>
            </w:r>
          </w:p>
          <w:p w14:paraId="57CD6C28">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
                <w:color w:val="auto"/>
                <w:sz w:val="24"/>
                <w:szCs w:val="24"/>
              </w:rPr>
            </w:pPr>
            <w:r>
              <w:rPr>
                <w:rFonts w:hint="eastAsia" w:ascii="仿宋" w:hAnsi="仿宋" w:eastAsia="仿宋" w:cs="仿宋"/>
                <w:bCs/>
                <w:color w:val="auto"/>
                <w:sz w:val="24"/>
                <w:szCs w:val="24"/>
              </w:rPr>
              <w:t>（四）实施效果</w:t>
            </w:r>
          </w:p>
          <w:p w14:paraId="577B8573">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实验的目的</w:t>
            </w:r>
          </w:p>
          <w:p w14:paraId="4C90838E">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利用思政教育与声乐课程互动教学尝试进行教学实验，验证</w:t>
            </w:r>
            <w:r>
              <w:rPr>
                <w:rFonts w:hint="eastAsia" w:ascii="仿宋" w:hAnsi="仿宋" w:eastAsia="仿宋" w:cs="仿宋"/>
                <w:color w:val="auto"/>
                <w:sz w:val="24"/>
                <w:szCs w:val="24"/>
                <w:lang w:eastAsia="zh-CN"/>
              </w:rPr>
              <w:t>思政教育与声乐课程互动教学</w:t>
            </w:r>
            <w:r>
              <w:rPr>
                <w:rFonts w:hint="eastAsia" w:ascii="仿宋" w:hAnsi="仿宋" w:eastAsia="仿宋" w:cs="仿宋"/>
                <w:color w:val="auto"/>
                <w:sz w:val="24"/>
                <w:szCs w:val="24"/>
              </w:rPr>
              <w:t>在</w:t>
            </w:r>
            <w:r>
              <w:rPr>
                <w:rFonts w:hint="eastAsia" w:ascii="仿宋" w:hAnsi="仿宋" w:eastAsia="仿宋" w:cs="仿宋"/>
                <w:color w:val="auto"/>
                <w:sz w:val="24"/>
                <w:szCs w:val="24"/>
                <w:lang w:eastAsia="zh-CN"/>
              </w:rPr>
              <w:t>高职院校学前教育专业</w:t>
            </w:r>
            <w:r>
              <w:rPr>
                <w:rFonts w:hint="eastAsia" w:ascii="仿宋" w:hAnsi="仿宋" w:eastAsia="仿宋" w:cs="仿宋"/>
                <w:color w:val="auto"/>
                <w:sz w:val="24"/>
                <w:szCs w:val="24"/>
              </w:rPr>
              <w:t>教学中有效影响，以更好的培养学生</w:t>
            </w:r>
            <w:r>
              <w:rPr>
                <w:rFonts w:hint="eastAsia" w:ascii="仿宋" w:hAnsi="仿宋" w:eastAsia="仿宋" w:cs="仿宋"/>
                <w:color w:val="auto"/>
                <w:sz w:val="24"/>
                <w:szCs w:val="24"/>
                <w:lang w:val="en-US" w:eastAsia="zh-CN"/>
              </w:rPr>
              <w:t>学习</w:t>
            </w:r>
            <w:r>
              <w:rPr>
                <w:rFonts w:hint="eastAsia" w:ascii="仿宋" w:hAnsi="仿宋" w:eastAsia="仿宋" w:cs="仿宋"/>
                <w:color w:val="auto"/>
                <w:sz w:val="24"/>
                <w:szCs w:val="24"/>
              </w:rPr>
              <w:t>能力，提高学习效率。</w:t>
            </w:r>
          </w:p>
          <w:p w14:paraId="28AE8958">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实验的方法</w:t>
            </w:r>
          </w:p>
          <w:p w14:paraId="0487A6FC">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w:t>
            </w:r>
            <w:r>
              <w:rPr>
                <w:rFonts w:hint="eastAsia" w:ascii="仿宋" w:hAnsi="仿宋" w:eastAsia="仿宋" w:cs="仿宋"/>
                <w:color w:val="auto"/>
                <w:sz w:val="24"/>
                <w:szCs w:val="24"/>
                <w:lang w:val="en-US" w:eastAsia="zh-CN"/>
              </w:rPr>
              <w:t>高职院校</w:t>
            </w:r>
            <w:r>
              <w:rPr>
                <w:rFonts w:hint="eastAsia" w:ascii="仿宋" w:hAnsi="仿宋" w:eastAsia="仿宋" w:cs="仿宋"/>
                <w:color w:val="auto"/>
                <w:sz w:val="24"/>
                <w:szCs w:val="24"/>
              </w:rPr>
              <w:t>两个班作为实验对象，两个班均属初级</w:t>
            </w:r>
            <w:r>
              <w:rPr>
                <w:rFonts w:hint="eastAsia" w:ascii="仿宋" w:hAnsi="仿宋" w:eastAsia="仿宋" w:cs="仿宋"/>
                <w:color w:val="auto"/>
                <w:sz w:val="24"/>
                <w:szCs w:val="24"/>
                <w:lang w:val="en-US" w:eastAsia="zh-CN"/>
              </w:rPr>
              <w:t>高职院校</w:t>
            </w:r>
            <w:r>
              <w:rPr>
                <w:rFonts w:hint="eastAsia" w:ascii="仿宋" w:hAnsi="仿宋" w:eastAsia="仿宋" w:cs="仿宋"/>
                <w:color w:val="auto"/>
                <w:sz w:val="24"/>
                <w:szCs w:val="24"/>
              </w:rPr>
              <w:t>，每班43人，两个班级入班时是平行分班，所以学生的整体情况基本相同。同一年级都采用</w:t>
            </w:r>
            <w:r>
              <w:rPr>
                <w:rFonts w:hint="eastAsia" w:ascii="仿宋" w:hAnsi="仿宋" w:eastAsia="仿宋" w:cs="仿宋"/>
                <w:color w:val="auto"/>
                <w:sz w:val="24"/>
                <w:szCs w:val="24"/>
                <w:lang w:val="en-US" w:eastAsia="zh-CN"/>
              </w:rPr>
              <w:t>高职院校</w:t>
            </w:r>
            <w:r>
              <w:rPr>
                <w:rFonts w:hint="eastAsia" w:ascii="仿宋" w:hAnsi="仿宋" w:eastAsia="仿宋" w:cs="仿宋"/>
                <w:color w:val="auto"/>
                <w:sz w:val="24"/>
                <w:szCs w:val="24"/>
                <w:lang w:eastAsia="zh-CN"/>
              </w:rPr>
              <w:t>学前教育专业</w:t>
            </w:r>
            <w:r>
              <w:rPr>
                <w:rFonts w:hint="eastAsia" w:ascii="仿宋" w:hAnsi="仿宋" w:eastAsia="仿宋" w:cs="仿宋"/>
                <w:color w:val="auto"/>
                <w:sz w:val="24"/>
                <w:szCs w:val="24"/>
              </w:rPr>
              <w:t>教材，使用相同复习资料，相同的教学进度，以保证两个班的公平度。实验周期为一个学期，其中笔者所教的班级为实验班，采取</w:t>
            </w:r>
            <w:r>
              <w:rPr>
                <w:rFonts w:hint="eastAsia" w:ascii="仿宋" w:hAnsi="仿宋" w:eastAsia="仿宋" w:cs="仿宋"/>
                <w:color w:val="auto"/>
                <w:sz w:val="24"/>
                <w:szCs w:val="24"/>
                <w:lang w:eastAsia="zh-CN"/>
              </w:rPr>
              <w:t>思政教育与声乐课程互动教学</w:t>
            </w:r>
            <w:r>
              <w:rPr>
                <w:rFonts w:hint="eastAsia" w:ascii="仿宋" w:hAnsi="仿宋" w:eastAsia="仿宋" w:cs="仿宋"/>
                <w:color w:val="auto"/>
                <w:sz w:val="24"/>
                <w:szCs w:val="24"/>
              </w:rPr>
              <w:t>的教学模式，另一个班为对照班，采用普通的教学方式。</w:t>
            </w:r>
          </w:p>
          <w:p w14:paraId="7BE808B5">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实验结果分析</w:t>
            </w:r>
          </w:p>
          <w:p w14:paraId="3A7D618D">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把</w:t>
            </w:r>
            <w:r>
              <w:rPr>
                <w:rFonts w:hint="eastAsia" w:ascii="仿宋" w:hAnsi="仿宋" w:eastAsia="仿宋" w:cs="仿宋"/>
                <w:color w:val="auto"/>
                <w:sz w:val="24"/>
                <w:szCs w:val="24"/>
                <w:lang w:val="en-US" w:eastAsia="zh-CN"/>
              </w:rPr>
              <w:t>大一</w:t>
            </w:r>
            <w:r>
              <w:rPr>
                <w:rFonts w:hint="eastAsia" w:ascii="仿宋" w:hAnsi="仿宋" w:eastAsia="仿宋" w:cs="仿宋"/>
                <w:color w:val="auto"/>
                <w:sz w:val="24"/>
                <w:szCs w:val="24"/>
              </w:rPr>
              <w:t>下学期分班后的</w:t>
            </w:r>
            <w:r>
              <w:rPr>
                <w:rFonts w:hint="eastAsia" w:ascii="仿宋" w:hAnsi="仿宋" w:eastAsia="仿宋" w:cs="仿宋"/>
                <w:color w:val="auto"/>
                <w:sz w:val="24"/>
                <w:szCs w:val="24"/>
                <w:lang w:eastAsia="zh-CN"/>
              </w:rPr>
              <w:t>综测</w:t>
            </w:r>
            <w:r>
              <w:rPr>
                <w:rFonts w:hint="eastAsia" w:ascii="仿宋" w:hAnsi="仿宋" w:eastAsia="仿宋" w:cs="仿宋"/>
                <w:color w:val="auto"/>
                <w:sz w:val="24"/>
                <w:szCs w:val="24"/>
              </w:rPr>
              <w:t>成绩作为前测,</w:t>
            </w:r>
            <w:r>
              <w:rPr>
                <w:rFonts w:hint="eastAsia" w:ascii="仿宋" w:hAnsi="仿宋" w:eastAsia="仿宋" w:cs="仿宋"/>
                <w:color w:val="auto"/>
                <w:sz w:val="24"/>
                <w:szCs w:val="24"/>
                <w:lang w:val="en-US" w:eastAsia="zh-CN"/>
              </w:rPr>
              <w:t>大二</w:t>
            </w:r>
            <w:r>
              <w:rPr>
                <w:rFonts w:hint="eastAsia" w:ascii="仿宋" w:hAnsi="仿宋" w:eastAsia="仿宋" w:cs="仿宋"/>
                <w:color w:val="auto"/>
                <w:sz w:val="24"/>
                <w:szCs w:val="24"/>
              </w:rPr>
              <w:t>上半学期的</w:t>
            </w:r>
            <w:r>
              <w:rPr>
                <w:rFonts w:hint="eastAsia" w:ascii="仿宋" w:hAnsi="仿宋" w:eastAsia="仿宋" w:cs="仿宋"/>
                <w:color w:val="auto"/>
                <w:sz w:val="24"/>
                <w:szCs w:val="24"/>
                <w:lang w:eastAsia="zh-CN"/>
              </w:rPr>
              <w:t>综测</w:t>
            </w:r>
            <w:r>
              <w:rPr>
                <w:rFonts w:hint="eastAsia" w:ascii="仿宋" w:hAnsi="仿宋" w:eastAsia="仿宋" w:cs="仿宋"/>
                <w:color w:val="auto"/>
                <w:sz w:val="24"/>
                <w:szCs w:val="24"/>
              </w:rPr>
              <w:t>成绩作为中测，</w:t>
            </w:r>
            <w:r>
              <w:rPr>
                <w:rFonts w:hint="eastAsia" w:ascii="仿宋" w:hAnsi="仿宋" w:eastAsia="仿宋" w:cs="仿宋"/>
                <w:color w:val="auto"/>
                <w:sz w:val="24"/>
                <w:szCs w:val="24"/>
                <w:lang w:val="en-US" w:eastAsia="zh-CN"/>
              </w:rPr>
              <w:t>大二下</w:t>
            </w:r>
            <w:r>
              <w:rPr>
                <w:rFonts w:hint="eastAsia" w:ascii="仿宋" w:hAnsi="仿宋" w:eastAsia="仿宋" w:cs="仿宋"/>
                <w:color w:val="auto"/>
                <w:sz w:val="24"/>
                <w:szCs w:val="24"/>
              </w:rPr>
              <w:t>半学期的</w:t>
            </w:r>
            <w:r>
              <w:rPr>
                <w:rFonts w:hint="eastAsia" w:ascii="仿宋" w:hAnsi="仿宋" w:eastAsia="仿宋" w:cs="仿宋"/>
                <w:color w:val="auto"/>
                <w:sz w:val="24"/>
                <w:szCs w:val="24"/>
                <w:lang w:eastAsia="zh-CN"/>
              </w:rPr>
              <w:t>综测</w:t>
            </w:r>
            <w:r>
              <w:rPr>
                <w:rFonts w:hint="eastAsia" w:ascii="仿宋" w:hAnsi="仿宋" w:eastAsia="仿宋" w:cs="仿宋"/>
                <w:color w:val="auto"/>
                <w:sz w:val="24"/>
                <w:szCs w:val="24"/>
              </w:rPr>
              <w:t>成绩作为后测。通过对试验班和对照班三次考试成绩变化进行统计分析，得出实验结论。</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14:paraId="236C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217" w:type="dxa"/>
                  <w:vMerge w:val="restart"/>
                  <w:noWrap w:val="0"/>
                  <w:vAlign w:val="top"/>
                </w:tcPr>
                <w:p w14:paraId="4A10C5C2">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p>
              </w:tc>
              <w:tc>
                <w:tcPr>
                  <w:tcW w:w="2434" w:type="dxa"/>
                  <w:gridSpan w:val="2"/>
                  <w:noWrap w:val="0"/>
                  <w:vAlign w:val="top"/>
                </w:tcPr>
                <w:p w14:paraId="1CADAE5F">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前测</w:t>
                  </w:r>
                </w:p>
              </w:tc>
              <w:tc>
                <w:tcPr>
                  <w:tcW w:w="2435" w:type="dxa"/>
                  <w:gridSpan w:val="2"/>
                  <w:noWrap w:val="0"/>
                  <w:vAlign w:val="top"/>
                </w:tcPr>
                <w:p w14:paraId="0DB65928">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中测</w:t>
                  </w:r>
                </w:p>
              </w:tc>
              <w:tc>
                <w:tcPr>
                  <w:tcW w:w="2436" w:type="dxa"/>
                  <w:gridSpan w:val="2"/>
                  <w:noWrap w:val="0"/>
                  <w:vAlign w:val="top"/>
                </w:tcPr>
                <w:p w14:paraId="2E3D0DE0">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后测</w:t>
                  </w:r>
                </w:p>
              </w:tc>
            </w:tr>
            <w:tr w14:paraId="663D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Merge w:val="continue"/>
                  <w:noWrap w:val="0"/>
                  <w:vAlign w:val="top"/>
                </w:tcPr>
                <w:p w14:paraId="1B4CFD5A">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p>
              </w:tc>
              <w:tc>
                <w:tcPr>
                  <w:tcW w:w="1217" w:type="dxa"/>
                  <w:noWrap w:val="0"/>
                  <w:vAlign w:val="top"/>
                </w:tcPr>
                <w:p w14:paraId="5557EFC4">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实验班</w:t>
                  </w:r>
                </w:p>
              </w:tc>
              <w:tc>
                <w:tcPr>
                  <w:tcW w:w="1217" w:type="dxa"/>
                  <w:noWrap w:val="0"/>
                  <w:vAlign w:val="top"/>
                </w:tcPr>
                <w:p w14:paraId="20347A53">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对照班</w:t>
                  </w:r>
                </w:p>
              </w:tc>
              <w:tc>
                <w:tcPr>
                  <w:tcW w:w="1217" w:type="dxa"/>
                  <w:noWrap w:val="0"/>
                  <w:vAlign w:val="top"/>
                </w:tcPr>
                <w:p w14:paraId="5452DA35">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实验班</w:t>
                  </w:r>
                </w:p>
              </w:tc>
              <w:tc>
                <w:tcPr>
                  <w:tcW w:w="1218" w:type="dxa"/>
                  <w:noWrap w:val="0"/>
                  <w:vAlign w:val="top"/>
                </w:tcPr>
                <w:p w14:paraId="261BF6A6">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对照班</w:t>
                  </w:r>
                </w:p>
              </w:tc>
              <w:tc>
                <w:tcPr>
                  <w:tcW w:w="1218" w:type="dxa"/>
                  <w:noWrap w:val="0"/>
                  <w:vAlign w:val="top"/>
                </w:tcPr>
                <w:p w14:paraId="7C854EEA">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实验班</w:t>
                  </w:r>
                </w:p>
              </w:tc>
              <w:tc>
                <w:tcPr>
                  <w:tcW w:w="1218" w:type="dxa"/>
                  <w:noWrap w:val="0"/>
                  <w:vAlign w:val="top"/>
                </w:tcPr>
                <w:p w14:paraId="42459467">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对照班</w:t>
                  </w:r>
                </w:p>
              </w:tc>
            </w:tr>
            <w:tr w14:paraId="09EB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14:paraId="5F80838B">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平均分</w:t>
                  </w:r>
                </w:p>
              </w:tc>
              <w:tc>
                <w:tcPr>
                  <w:tcW w:w="1217" w:type="dxa"/>
                  <w:noWrap w:val="0"/>
                  <w:vAlign w:val="top"/>
                </w:tcPr>
                <w:p w14:paraId="758460BF">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52.10</w:t>
                  </w:r>
                </w:p>
              </w:tc>
              <w:tc>
                <w:tcPr>
                  <w:tcW w:w="1217" w:type="dxa"/>
                  <w:noWrap w:val="0"/>
                  <w:vAlign w:val="top"/>
                </w:tcPr>
                <w:p w14:paraId="02C7CAAB">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51.59</w:t>
                  </w:r>
                </w:p>
              </w:tc>
              <w:tc>
                <w:tcPr>
                  <w:tcW w:w="1217" w:type="dxa"/>
                  <w:noWrap w:val="0"/>
                  <w:vAlign w:val="top"/>
                </w:tcPr>
                <w:p w14:paraId="66C7E442">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55.88</w:t>
                  </w:r>
                </w:p>
              </w:tc>
              <w:tc>
                <w:tcPr>
                  <w:tcW w:w="1218" w:type="dxa"/>
                  <w:noWrap w:val="0"/>
                  <w:vAlign w:val="top"/>
                </w:tcPr>
                <w:p w14:paraId="46132F38">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50.34</w:t>
                  </w:r>
                </w:p>
              </w:tc>
              <w:tc>
                <w:tcPr>
                  <w:tcW w:w="1218" w:type="dxa"/>
                  <w:noWrap w:val="0"/>
                  <w:vAlign w:val="top"/>
                </w:tcPr>
                <w:p w14:paraId="7AB842EC">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65.22</w:t>
                  </w:r>
                </w:p>
              </w:tc>
              <w:tc>
                <w:tcPr>
                  <w:tcW w:w="1218" w:type="dxa"/>
                  <w:noWrap w:val="0"/>
                  <w:vAlign w:val="top"/>
                </w:tcPr>
                <w:p w14:paraId="2C3C899F">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57.32</w:t>
                  </w:r>
                </w:p>
              </w:tc>
            </w:tr>
            <w:tr w14:paraId="213E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14:paraId="26D601E8">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中位数</w:t>
                  </w:r>
                </w:p>
              </w:tc>
              <w:tc>
                <w:tcPr>
                  <w:tcW w:w="1217" w:type="dxa"/>
                  <w:noWrap w:val="0"/>
                  <w:vAlign w:val="top"/>
                </w:tcPr>
                <w:p w14:paraId="0A3F5394">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49</w:t>
                  </w:r>
                </w:p>
              </w:tc>
              <w:tc>
                <w:tcPr>
                  <w:tcW w:w="1217" w:type="dxa"/>
                  <w:noWrap w:val="0"/>
                  <w:vAlign w:val="top"/>
                </w:tcPr>
                <w:p w14:paraId="218013B0">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50</w:t>
                  </w:r>
                </w:p>
              </w:tc>
              <w:tc>
                <w:tcPr>
                  <w:tcW w:w="1217" w:type="dxa"/>
                  <w:noWrap w:val="0"/>
                  <w:vAlign w:val="top"/>
                </w:tcPr>
                <w:p w14:paraId="404B3058">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58</w:t>
                  </w:r>
                </w:p>
              </w:tc>
              <w:tc>
                <w:tcPr>
                  <w:tcW w:w="1218" w:type="dxa"/>
                  <w:noWrap w:val="0"/>
                  <w:vAlign w:val="top"/>
                </w:tcPr>
                <w:p w14:paraId="177A4B3F">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49</w:t>
                  </w:r>
                </w:p>
              </w:tc>
              <w:tc>
                <w:tcPr>
                  <w:tcW w:w="1218" w:type="dxa"/>
                  <w:noWrap w:val="0"/>
                  <w:vAlign w:val="top"/>
                </w:tcPr>
                <w:p w14:paraId="7E1A9112">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70</w:t>
                  </w:r>
                </w:p>
              </w:tc>
              <w:tc>
                <w:tcPr>
                  <w:tcW w:w="1218" w:type="dxa"/>
                  <w:noWrap w:val="0"/>
                  <w:vAlign w:val="top"/>
                </w:tcPr>
                <w:p w14:paraId="740DBCBC">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54</w:t>
                  </w:r>
                </w:p>
              </w:tc>
            </w:tr>
            <w:tr w14:paraId="755A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14:paraId="74F9E0F0">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众数</w:t>
                  </w:r>
                </w:p>
              </w:tc>
              <w:tc>
                <w:tcPr>
                  <w:tcW w:w="1217" w:type="dxa"/>
                  <w:noWrap w:val="0"/>
                  <w:vAlign w:val="top"/>
                </w:tcPr>
                <w:p w14:paraId="294A603A">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76</w:t>
                  </w:r>
                </w:p>
              </w:tc>
              <w:tc>
                <w:tcPr>
                  <w:tcW w:w="1217" w:type="dxa"/>
                  <w:noWrap w:val="0"/>
                  <w:vAlign w:val="top"/>
                </w:tcPr>
                <w:p w14:paraId="06166E71">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80</w:t>
                  </w:r>
                </w:p>
              </w:tc>
              <w:tc>
                <w:tcPr>
                  <w:tcW w:w="1217" w:type="dxa"/>
                  <w:noWrap w:val="0"/>
                  <w:vAlign w:val="top"/>
                </w:tcPr>
                <w:p w14:paraId="056557F3">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59</w:t>
                  </w:r>
                </w:p>
              </w:tc>
              <w:tc>
                <w:tcPr>
                  <w:tcW w:w="1218" w:type="dxa"/>
                  <w:noWrap w:val="0"/>
                  <w:vAlign w:val="top"/>
                </w:tcPr>
                <w:p w14:paraId="6EF2035A">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49</w:t>
                  </w:r>
                </w:p>
              </w:tc>
              <w:tc>
                <w:tcPr>
                  <w:tcW w:w="1218" w:type="dxa"/>
                  <w:noWrap w:val="0"/>
                  <w:vAlign w:val="top"/>
                </w:tcPr>
                <w:p w14:paraId="50073F3A">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77</w:t>
                  </w:r>
                </w:p>
              </w:tc>
              <w:tc>
                <w:tcPr>
                  <w:tcW w:w="1218" w:type="dxa"/>
                  <w:noWrap w:val="0"/>
                  <w:vAlign w:val="top"/>
                </w:tcPr>
                <w:p w14:paraId="23C8B6FE">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69</w:t>
                  </w:r>
                </w:p>
              </w:tc>
            </w:tr>
            <w:tr w14:paraId="679D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14:paraId="5F89485F">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最大值</w:t>
                  </w:r>
                </w:p>
              </w:tc>
              <w:tc>
                <w:tcPr>
                  <w:tcW w:w="1217" w:type="dxa"/>
                  <w:noWrap w:val="0"/>
                  <w:vAlign w:val="top"/>
                </w:tcPr>
                <w:p w14:paraId="37612E27">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88</w:t>
                  </w:r>
                </w:p>
              </w:tc>
              <w:tc>
                <w:tcPr>
                  <w:tcW w:w="1217" w:type="dxa"/>
                  <w:noWrap w:val="0"/>
                  <w:vAlign w:val="top"/>
                </w:tcPr>
                <w:p w14:paraId="02B01CA3">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91</w:t>
                  </w:r>
                </w:p>
              </w:tc>
              <w:tc>
                <w:tcPr>
                  <w:tcW w:w="1217" w:type="dxa"/>
                  <w:noWrap w:val="0"/>
                  <w:vAlign w:val="top"/>
                </w:tcPr>
                <w:p w14:paraId="63A5B423">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91</w:t>
                  </w:r>
                </w:p>
              </w:tc>
              <w:tc>
                <w:tcPr>
                  <w:tcW w:w="1218" w:type="dxa"/>
                  <w:noWrap w:val="0"/>
                  <w:vAlign w:val="top"/>
                </w:tcPr>
                <w:p w14:paraId="2C50C3D5">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85</w:t>
                  </w:r>
                </w:p>
              </w:tc>
              <w:tc>
                <w:tcPr>
                  <w:tcW w:w="1218" w:type="dxa"/>
                  <w:noWrap w:val="0"/>
                  <w:vAlign w:val="top"/>
                </w:tcPr>
                <w:p w14:paraId="652CEE62">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94</w:t>
                  </w:r>
                </w:p>
              </w:tc>
              <w:tc>
                <w:tcPr>
                  <w:tcW w:w="1218" w:type="dxa"/>
                  <w:noWrap w:val="0"/>
                  <w:vAlign w:val="top"/>
                </w:tcPr>
                <w:p w14:paraId="335849B5">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88</w:t>
                  </w:r>
                </w:p>
              </w:tc>
            </w:tr>
            <w:tr w14:paraId="6137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14:paraId="66574BC4">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最小值</w:t>
                  </w:r>
                </w:p>
              </w:tc>
              <w:tc>
                <w:tcPr>
                  <w:tcW w:w="1217" w:type="dxa"/>
                  <w:noWrap w:val="0"/>
                  <w:vAlign w:val="top"/>
                </w:tcPr>
                <w:p w14:paraId="7A48706B">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14</w:t>
                  </w:r>
                </w:p>
              </w:tc>
              <w:tc>
                <w:tcPr>
                  <w:tcW w:w="1217" w:type="dxa"/>
                  <w:noWrap w:val="0"/>
                  <w:vAlign w:val="top"/>
                </w:tcPr>
                <w:p w14:paraId="25CB580F">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13</w:t>
                  </w:r>
                </w:p>
              </w:tc>
              <w:tc>
                <w:tcPr>
                  <w:tcW w:w="1217" w:type="dxa"/>
                  <w:noWrap w:val="0"/>
                  <w:vAlign w:val="top"/>
                </w:tcPr>
                <w:p w14:paraId="42B477CE">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28</w:t>
                  </w:r>
                </w:p>
              </w:tc>
              <w:tc>
                <w:tcPr>
                  <w:tcW w:w="1218" w:type="dxa"/>
                  <w:noWrap w:val="0"/>
                  <w:vAlign w:val="top"/>
                </w:tcPr>
                <w:p w14:paraId="47D8A030">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16</w:t>
                  </w:r>
                </w:p>
              </w:tc>
              <w:tc>
                <w:tcPr>
                  <w:tcW w:w="1218" w:type="dxa"/>
                  <w:noWrap w:val="0"/>
                  <w:vAlign w:val="top"/>
                </w:tcPr>
                <w:p w14:paraId="3DED39A7">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32</w:t>
                  </w:r>
                </w:p>
              </w:tc>
              <w:tc>
                <w:tcPr>
                  <w:tcW w:w="1218" w:type="dxa"/>
                  <w:noWrap w:val="0"/>
                  <w:vAlign w:val="top"/>
                </w:tcPr>
                <w:p w14:paraId="00F5FAAC">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30</w:t>
                  </w:r>
                </w:p>
              </w:tc>
            </w:tr>
            <w:tr w14:paraId="3457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14:paraId="3AEABE69">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标准差</w:t>
                  </w:r>
                </w:p>
              </w:tc>
              <w:tc>
                <w:tcPr>
                  <w:tcW w:w="1217" w:type="dxa"/>
                  <w:noWrap w:val="0"/>
                  <w:vAlign w:val="top"/>
                </w:tcPr>
                <w:p w14:paraId="4C4AA1E2">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22.55</w:t>
                  </w:r>
                </w:p>
              </w:tc>
              <w:tc>
                <w:tcPr>
                  <w:tcW w:w="1217" w:type="dxa"/>
                  <w:noWrap w:val="0"/>
                  <w:vAlign w:val="top"/>
                </w:tcPr>
                <w:p w14:paraId="3C3922B9">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23.42</w:t>
                  </w:r>
                </w:p>
              </w:tc>
              <w:tc>
                <w:tcPr>
                  <w:tcW w:w="1217" w:type="dxa"/>
                  <w:noWrap w:val="0"/>
                  <w:vAlign w:val="top"/>
                </w:tcPr>
                <w:p w14:paraId="13C85D7C">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16.80</w:t>
                  </w:r>
                </w:p>
              </w:tc>
              <w:tc>
                <w:tcPr>
                  <w:tcW w:w="1218" w:type="dxa"/>
                  <w:noWrap w:val="0"/>
                  <w:vAlign w:val="top"/>
                </w:tcPr>
                <w:p w14:paraId="455C3D91">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17.09</w:t>
                  </w:r>
                </w:p>
              </w:tc>
              <w:tc>
                <w:tcPr>
                  <w:tcW w:w="1218" w:type="dxa"/>
                  <w:noWrap w:val="0"/>
                  <w:vAlign w:val="top"/>
                </w:tcPr>
                <w:p w14:paraId="2E79B92B">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18.28</w:t>
                  </w:r>
                </w:p>
              </w:tc>
              <w:tc>
                <w:tcPr>
                  <w:tcW w:w="1218" w:type="dxa"/>
                  <w:noWrap w:val="0"/>
                  <w:vAlign w:val="top"/>
                </w:tcPr>
                <w:p w14:paraId="0AFB9C3F">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16.10</w:t>
                  </w:r>
                </w:p>
              </w:tc>
            </w:tr>
            <w:tr w14:paraId="271F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14:paraId="675957AF">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求和</w:t>
                  </w:r>
                </w:p>
              </w:tc>
              <w:tc>
                <w:tcPr>
                  <w:tcW w:w="1217" w:type="dxa"/>
                  <w:noWrap w:val="0"/>
                  <w:vAlign w:val="top"/>
                </w:tcPr>
                <w:p w14:paraId="46B9E1D9">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2122</w:t>
                  </w:r>
                </w:p>
              </w:tc>
              <w:tc>
                <w:tcPr>
                  <w:tcW w:w="1217" w:type="dxa"/>
                  <w:noWrap w:val="0"/>
                  <w:vAlign w:val="top"/>
                </w:tcPr>
                <w:p w14:paraId="7682095B">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2102</w:t>
                  </w:r>
                </w:p>
              </w:tc>
              <w:tc>
                <w:tcPr>
                  <w:tcW w:w="1217" w:type="dxa"/>
                  <w:noWrap w:val="0"/>
                  <w:vAlign w:val="top"/>
                </w:tcPr>
                <w:p w14:paraId="59BEE15F">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2263</w:t>
                  </w:r>
                </w:p>
              </w:tc>
              <w:tc>
                <w:tcPr>
                  <w:tcW w:w="1218" w:type="dxa"/>
                  <w:noWrap w:val="0"/>
                  <w:vAlign w:val="top"/>
                </w:tcPr>
                <w:p w14:paraId="4306E7A0">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2048</w:t>
                  </w:r>
                </w:p>
              </w:tc>
              <w:tc>
                <w:tcPr>
                  <w:tcW w:w="1218" w:type="dxa"/>
                  <w:noWrap w:val="0"/>
                  <w:vAlign w:val="top"/>
                </w:tcPr>
                <w:p w14:paraId="797AA16B">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2642</w:t>
                  </w:r>
                </w:p>
              </w:tc>
              <w:tc>
                <w:tcPr>
                  <w:tcW w:w="1218" w:type="dxa"/>
                  <w:noWrap w:val="0"/>
                  <w:vAlign w:val="top"/>
                </w:tcPr>
                <w:p w14:paraId="4EC23283">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2320</w:t>
                  </w:r>
                </w:p>
              </w:tc>
            </w:tr>
            <w:tr w14:paraId="6351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noWrap w:val="0"/>
                  <w:vAlign w:val="top"/>
                </w:tcPr>
                <w:p w14:paraId="44918961">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观测数</w:t>
                  </w:r>
                </w:p>
              </w:tc>
              <w:tc>
                <w:tcPr>
                  <w:tcW w:w="1217" w:type="dxa"/>
                  <w:noWrap w:val="0"/>
                  <w:vAlign w:val="top"/>
                </w:tcPr>
                <w:p w14:paraId="63F67FD9">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41</w:t>
                  </w:r>
                </w:p>
              </w:tc>
              <w:tc>
                <w:tcPr>
                  <w:tcW w:w="1217" w:type="dxa"/>
                  <w:noWrap w:val="0"/>
                  <w:vAlign w:val="top"/>
                </w:tcPr>
                <w:p w14:paraId="713535AC">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41</w:t>
                  </w:r>
                </w:p>
              </w:tc>
              <w:tc>
                <w:tcPr>
                  <w:tcW w:w="1217" w:type="dxa"/>
                  <w:noWrap w:val="0"/>
                  <w:vAlign w:val="top"/>
                </w:tcPr>
                <w:p w14:paraId="0F643594">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41</w:t>
                  </w:r>
                </w:p>
              </w:tc>
              <w:tc>
                <w:tcPr>
                  <w:tcW w:w="1218" w:type="dxa"/>
                  <w:noWrap w:val="0"/>
                  <w:vAlign w:val="top"/>
                </w:tcPr>
                <w:p w14:paraId="2A859CF6">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41</w:t>
                  </w:r>
                </w:p>
              </w:tc>
              <w:tc>
                <w:tcPr>
                  <w:tcW w:w="1218" w:type="dxa"/>
                  <w:noWrap w:val="0"/>
                  <w:vAlign w:val="top"/>
                </w:tcPr>
                <w:p w14:paraId="392AD1E7">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41</w:t>
                  </w:r>
                </w:p>
              </w:tc>
              <w:tc>
                <w:tcPr>
                  <w:tcW w:w="1218" w:type="dxa"/>
                  <w:noWrap w:val="0"/>
                  <w:vAlign w:val="top"/>
                </w:tcPr>
                <w:p w14:paraId="543A0847">
                  <w:pPr>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41</w:t>
                  </w:r>
                </w:p>
              </w:tc>
            </w:tr>
          </w:tbl>
          <w:p w14:paraId="6F7C5369">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从统计表中可以看出:在前测时，采取的是平行分班，在平均成绩、标准差、中位数等方面均无明显差异。中测是在进行两个多月的教学实验后，采取的是</w:t>
            </w:r>
            <w:r>
              <w:rPr>
                <w:rFonts w:hint="eastAsia" w:ascii="仿宋" w:hAnsi="仿宋" w:eastAsia="仿宋" w:cs="仿宋"/>
                <w:color w:val="auto"/>
                <w:sz w:val="24"/>
                <w:szCs w:val="24"/>
                <w:lang w:eastAsia="zh-CN"/>
              </w:rPr>
              <w:t>2020</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2021</w:t>
            </w:r>
            <w:r>
              <w:rPr>
                <w:rFonts w:hint="eastAsia" w:ascii="仿宋" w:hAnsi="仿宋" w:eastAsia="仿宋" w:cs="仿宋"/>
                <w:color w:val="auto"/>
                <w:sz w:val="24"/>
                <w:szCs w:val="24"/>
              </w:rPr>
              <w:t>学年上半学期的</w:t>
            </w:r>
            <w:r>
              <w:rPr>
                <w:rFonts w:hint="eastAsia" w:ascii="仿宋" w:hAnsi="仿宋" w:eastAsia="仿宋" w:cs="仿宋"/>
                <w:color w:val="auto"/>
                <w:sz w:val="24"/>
                <w:szCs w:val="24"/>
                <w:lang w:eastAsia="zh-CN"/>
              </w:rPr>
              <w:t>综测</w:t>
            </w:r>
            <w:r>
              <w:rPr>
                <w:rFonts w:hint="eastAsia" w:ascii="仿宋" w:hAnsi="仿宋" w:eastAsia="仿宋" w:cs="仿宋"/>
                <w:color w:val="auto"/>
                <w:sz w:val="24"/>
                <w:szCs w:val="24"/>
              </w:rPr>
              <w:t>成绩作为中测，采取的试卷教育局统一组织的统考试卷，实验班和对照班在平均分、中位数、众数方面存在一定的差距，但差距不明显。但后测在经历了五个多月的实验后,采用统一组织的</w:t>
            </w:r>
            <w:r>
              <w:rPr>
                <w:rFonts w:hint="eastAsia" w:ascii="仿宋" w:hAnsi="仿宋" w:eastAsia="仿宋" w:cs="仿宋"/>
                <w:color w:val="auto"/>
                <w:sz w:val="24"/>
                <w:szCs w:val="24"/>
                <w:lang w:eastAsia="zh-CN"/>
              </w:rPr>
              <w:t>综测</w:t>
            </w:r>
            <w:r>
              <w:rPr>
                <w:rFonts w:hint="eastAsia" w:ascii="仿宋" w:hAnsi="仿宋" w:eastAsia="仿宋" w:cs="仿宋"/>
                <w:color w:val="auto"/>
                <w:sz w:val="24"/>
                <w:szCs w:val="24"/>
              </w:rPr>
              <w:t>试卷，成绩作为后测成绩，差距明显扩大，实验班的整体成绩明显好于对照班，中上等学生的成绩进步较大，学困生的成绩也有一定程度的提高，这说明</w:t>
            </w:r>
            <w:r>
              <w:rPr>
                <w:rFonts w:hint="eastAsia" w:ascii="仿宋" w:hAnsi="仿宋" w:eastAsia="仿宋" w:cs="仿宋"/>
                <w:color w:val="auto"/>
                <w:sz w:val="24"/>
                <w:szCs w:val="24"/>
                <w:lang w:eastAsia="zh-CN"/>
              </w:rPr>
              <w:t>思政教育与声乐课程互动教学</w:t>
            </w:r>
            <w:r>
              <w:rPr>
                <w:rFonts w:hint="eastAsia" w:ascii="仿宋" w:hAnsi="仿宋" w:eastAsia="仿宋" w:cs="仿宋"/>
                <w:color w:val="auto"/>
                <w:sz w:val="24"/>
                <w:szCs w:val="24"/>
              </w:rPr>
              <w:t>的策略对</w:t>
            </w:r>
            <w:r>
              <w:rPr>
                <w:rFonts w:hint="eastAsia" w:ascii="仿宋" w:hAnsi="仿宋" w:eastAsia="仿宋" w:cs="仿宋"/>
                <w:color w:val="auto"/>
                <w:sz w:val="24"/>
                <w:szCs w:val="24"/>
                <w:lang w:eastAsia="zh-CN"/>
              </w:rPr>
              <w:t>高职院校</w:t>
            </w:r>
            <w:r>
              <w:rPr>
                <w:rFonts w:hint="eastAsia" w:ascii="仿宋" w:hAnsi="仿宋" w:eastAsia="仿宋" w:cs="仿宋"/>
                <w:color w:val="auto"/>
                <w:sz w:val="24"/>
                <w:szCs w:val="24"/>
              </w:rPr>
              <w:t>学生的</w:t>
            </w:r>
            <w:r>
              <w:rPr>
                <w:rFonts w:hint="eastAsia" w:ascii="仿宋" w:hAnsi="仿宋" w:eastAsia="仿宋" w:cs="仿宋"/>
                <w:color w:val="auto"/>
                <w:sz w:val="24"/>
                <w:szCs w:val="24"/>
                <w:lang w:eastAsia="zh-CN"/>
              </w:rPr>
              <w:t>学前教育专业</w:t>
            </w:r>
            <w:r>
              <w:rPr>
                <w:rFonts w:hint="eastAsia" w:ascii="仿宋" w:hAnsi="仿宋" w:eastAsia="仿宋" w:cs="仿宋"/>
                <w:color w:val="auto"/>
                <w:sz w:val="24"/>
                <w:szCs w:val="24"/>
              </w:rPr>
              <w:t>教学有一定的有效促进作用。</w:t>
            </w:r>
          </w:p>
          <w:p w14:paraId="75D57C93">
            <w:pPr>
              <w:pStyle w:val="4"/>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分析总结</w:t>
            </w:r>
          </w:p>
          <w:p w14:paraId="7C355FE4">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通过一个学期的教学实践，采取</w:t>
            </w:r>
            <w:r>
              <w:rPr>
                <w:rFonts w:hint="eastAsia" w:ascii="仿宋" w:hAnsi="仿宋" w:eastAsia="仿宋" w:cs="仿宋"/>
                <w:color w:val="auto"/>
                <w:sz w:val="24"/>
                <w:szCs w:val="24"/>
                <w:lang w:eastAsia="zh-CN"/>
              </w:rPr>
              <w:t>思政教育与声乐课程互动教学</w:t>
            </w:r>
            <w:r>
              <w:rPr>
                <w:rFonts w:hint="eastAsia" w:ascii="仿宋" w:hAnsi="仿宋" w:eastAsia="仿宋" w:cs="仿宋"/>
                <w:color w:val="auto"/>
                <w:sz w:val="24"/>
                <w:szCs w:val="24"/>
              </w:rPr>
              <w:t>的教学模式的班级在很多方面都要优于才用传统的教学模式的班级。主要在以下方面有显著的差异:</w:t>
            </w:r>
          </w:p>
          <w:p w14:paraId="40AF6305">
            <w:pPr>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sz w:val="24"/>
                <w:szCs w:val="24"/>
              </w:rPr>
            </w:pPr>
            <w:r>
              <w:drawing>
                <wp:inline distT="0" distB="0" distL="114300" distR="114300">
                  <wp:extent cx="4963795" cy="1854200"/>
                  <wp:effectExtent l="0" t="0" r="825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963795" cy="1854200"/>
                          </a:xfrm>
                          <a:prstGeom prst="rect">
                            <a:avLst/>
                          </a:prstGeom>
                          <a:noFill/>
                          <a:ln>
                            <a:noFill/>
                          </a:ln>
                        </pic:spPr>
                      </pic:pic>
                    </a:graphicData>
                  </a:graphic>
                </wp:inline>
              </w:drawing>
            </w:r>
          </w:p>
          <w:p w14:paraId="7420BF4B">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学习状态</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据其他同时教两个班级的任课教师反应，实验班的学生学习状态非常好。学习积极性高，遇到困难不退缩，积极寻求解决问题的办法，同学之间经常交流学习方法，课堂上能有效的配合教师的教学，勤学好问己经形成了这个班的风气。学生在探索和创造中完成了对</w:t>
            </w:r>
            <w:r>
              <w:rPr>
                <w:rFonts w:hint="eastAsia" w:ascii="仿宋" w:hAnsi="仿宋" w:eastAsia="仿宋" w:cs="仿宋"/>
                <w:color w:val="auto"/>
                <w:sz w:val="24"/>
                <w:szCs w:val="24"/>
                <w:lang w:val="en-US" w:eastAsia="zh-CN"/>
              </w:rPr>
              <w:t>学前教育专业</w:t>
            </w:r>
            <w:r>
              <w:rPr>
                <w:rFonts w:hint="eastAsia" w:ascii="仿宋" w:hAnsi="仿宋" w:eastAsia="仿宋" w:cs="仿宋"/>
                <w:color w:val="auto"/>
                <w:sz w:val="24"/>
                <w:szCs w:val="24"/>
              </w:rPr>
              <w:t>工具的探索，较好地把握了</w:t>
            </w:r>
            <w:r>
              <w:rPr>
                <w:rFonts w:hint="eastAsia" w:ascii="仿宋" w:hAnsi="仿宋" w:eastAsia="仿宋" w:cs="仿宋"/>
                <w:color w:val="auto"/>
                <w:sz w:val="24"/>
                <w:szCs w:val="24"/>
                <w:lang w:val="en-US" w:eastAsia="zh-CN"/>
              </w:rPr>
              <w:t>学前教育专业字学前教育专业习</w:t>
            </w:r>
            <w:r>
              <w:rPr>
                <w:rFonts w:hint="eastAsia" w:ascii="仿宋" w:hAnsi="仿宋" w:eastAsia="仿宋" w:cs="仿宋"/>
                <w:color w:val="auto"/>
                <w:sz w:val="24"/>
                <w:szCs w:val="24"/>
              </w:rPr>
              <w:t>的本质特征。学生在探索中不断生成问题，又不断地解决问题，多次感受了量角的方法，培养了学生的问题意识和创新能力多方面的</w:t>
            </w:r>
            <w:r>
              <w:rPr>
                <w:rFonts w:hint="eastAsia" w:ascii="仿宋" w:hAnsi="仿宋" w:eastAsia="仿宋" w:cs="仿宋"/>
                <w:color w:val="auto"/>
                <w:sz w:val="24"/>
                <w:szCs w:val="24"/>
                <w:lang w:eastAsia="zh-CN"/>
              </w:rPr>
              <w:t>学前教育专业</w:t>
            </w:r>
            <w:r>
              <w:rPr>
                <w:rFonts w:hint="eastAsia" w:ascii="仿宋" w:hAnsi="仿宋" w:eastAsia="仿宋" w:cs="仿宋"/>
                <w:color w:val="auto"/>
                <w:sz w:val="24"/>
                <w:szCs w:val="24"/>
              </w:rPr>
              <w:t>品质得到培养，并积累了丰富的</w:t>
            </w:r>
            <w:r>
              <w:rPr>
                <w:rFonts w:hint="eastAsia" w:ascii="仿宋" w:hAnsi="仿宋" w:eastAsia="仿宋" w:cs="仿宋"/>
                <w:color w:val="auto"/>
                <w:sz w:val="24"/>
                <w:szCs w:val="24"/>
                <w:lang w:eastAsia="zh-CN"/>
              </w:rPr>
              <w:t>学前教育专业</w:t>
            </w:r>
            <w:r>
              <w:rPr>
                <w:rFonts w:hint="eastAsia" w:ascii="仿宋" w:hAnsi="仿宋" w:eastAsia="仿宋" w:cs="仿宋"/>
                <w:color w:val="auto"/>
                <w:sz w:val="24"/>
                <w:szCs w:val="24"/>
              </w:rPr>
              <w:t>活动经验。</w:t>
            </w:r>
          </w:p>
          <w:p w14:paraId="43FD2FF3">
            <w:pPr>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仿宋" w:hAnsi="仿宋" w:eastAsia="仿宋" w:cs="仿宋"/>
                <w:color w:val="auto"/>
                <w:sz w:val="24"/>
                <w:szCs w:val="24"/>
              </w:rPr>
            </w:pPr>
            <w:r>
              <w:drawing>
                <wp:inline distT="0" distB="0" distL="114300" distR="114300">
                  <wp:extent cx="4637405" cy="2739390"/>
                  <wp:effectExtent l="0" t="0" r="1079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637405" cy="2739390"/>
                          </a:xfrm>
                          <a:prstGeom prst="rect">
                            <a:avLst/>
                          </a:prstGeom>
                          <a:noFill/>
                          <a:ln>
                            <a:noFill/>
                          </a:ln>
                        </pic:spPr>
                      </pic:pic>
                    </a:graphicData>
                  </a:graphic>
                </wp:inline>
              </w:drawing>
            </w:r>
          </w:p>
          <w:p w14:paraId="6860FC0E">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p>
          <w:p w14:paraId="547A020A">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rPr>
              <w:t>测试成绩</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通过一个学期的教学实践，实验班的学生成绩明显优于对照班。总结其原因。主要有以下方面:采用</w:t>
            </w:r>
            <w:r>
              <w:rPr>
                <w:rFonts w:hint="eastAsia" w:ascii="仿宋" w:hAnsi="仿宋" w:eastAsia="仿宋" w:cs="仿宋"/>
                <w:color w:val="auto"/>
                <w:sz w:val="24"/>
                <w:szCs w:val="24"/>
                <w:lang w:eastAsia="zh-CN"/>
              </w:rPr>
              <w:t>思政教育与声乐课程互动教学</w:t>
            </w:r>
            <w:r>
              <w:rPr>
                <w:rFonts w:hint="eastAsia" w:ascii="仿宋" w:hAnsi="仿宋" w:eastAsia="仿宋" w:cs="仿宋"/>
                <w:color w:val="auto"/>
                <w:sz w:val="24"/>
                <w:szCs w:val="24"/>
              </w:rPr>
              <w:t>的教学模式，教师变成了领路人，学生能主动的去探索去求知，学生的自信心有了很大提高，主体地位得到了充分的发挥。学生能积极寻找正确的归因，努力程度提高，自我效应感高。教师放手，导课新颖，设计中敢于创新，在一定程度上有利于高效课堂的生成。这都为以后学生学会生活，学会做人，学会学习打下了良好的基础</w:t>
            </w:r>
            <w:r>
              <w:rPr>
                <w:rFonts w:hint="eastAsia" w:ascii="仿宋" w:hAnsi="仿宋" w:eastAsia="仿宋" w:cs="仿宋"/>
                <w:bCs/>
                <w:color w:val="auto"/>
                <w:sz w:val="24"/>
                <w:szCs w:val="24"/>
              </w:rPr>
              <w:t>。</w:t>
            </w:r>
          </w:p>
          <w:p w14:paraId="71B3AA89">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（五）创新与示范</w:t>
            </w:r>
          </w:p>
          <w:p w14:paraId="7867017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bidi="ar"/>
              </w:rPr>
              <w:t>从研究方向分析，</w:t>
            </w:r>
            <w:r>
              <w:rPr>
                <w:rFonts w:hint="eastAsia" w:ascii="仿宋" w:hAnsi="仿宋" w:eastAsia="仿宋" w:cs="仿宋"/>
                <w:color w:val="auto"/>
                <w:sz w:val="24"/>
                <w:szCs w:val="24"/>
              </w:rPr>
              <w:t>研究通过</w:t>
            </w:r>
            <w:r>
              <w:rPr>
                <w:rFonts w:hint="eastAsia" w:ascii="仿宋" w:hAnsi="仿宋" w:eastAsia="仿宋" w:cs="仿宋"/>
                <w:color w:val="auto"/>
                <w:sz w:val="24"/>
                <w:szCs w:val="24"/>
                <w:lang w:eastAsia="zh-CN"/>
              </w:rPr>
              <w:t>高职院校学前教育专业思政教育与声乐课程互动教学模式</w:t>
            </w:r>
            <w:r>
              <w:rPr>
                <w:rFonts w:hint="eastAsia" w:ascii="仿宋" w:hAnsi="仿宋" w:eastAsia="仿宋" w:cs="仿宋"/>
                <w:color w:val="auto"/>
                <w:sz w:val="24"/>
                <w:szCs w:val="24"/>
              </w:rPr>
              <w:t>这一新的研究视角，运用</w:t>
            </w:r>
            <w:r>
              <w:rPr>
                <w:rFonts w:hint="eastAsia" w:ascii="仿宋" w:hAnsi="仿宋" w:eastAsia="仿宋" w:cs="仿宋"/>
                <w:color w:val="auto"/>
                <w:sz w:val="24"/>
                <w:szCs w:val="24"/>
                <w:lang w:eastAsia="zh-CN"/>
              </w:rPr>
              <w:t>高职院校学前教育专业思政教育与声乐课程互动教学模式</w:t>
            </w:r>
            <w:r>
              <w:rPr>
                <w:rFonts w:hint="eastAsia" w:ascii="仿宋" w:hAnsi="仿宋" w:eastAsia="仿宋" w:cs="仿宋"/>
                <w:color w:val="auto"/>
                <w:sz w:val="24"/>
                <w:szCs w:val="24"/>
              </w:rPr>
              <w:t>理论等，从</w:t>
            </w:r>
            <w:r>
              <w:rPr>
                <w:rFonts w:hint="eastAsia" w:ascii="仿宋" w:hAnsi="仿宋" w:eastAsia="仿宋" w:cs="仿宋"/>
                <w:color w:val="auto"/>
                <w:sz w:val="24"/>
                <w:szCs w:val="24"/>
                <w:lang w:eastAsia="zh-CN"/>
              </w:rPr>
              <w:t>高职院校学前教育专业课堂路径教学研究</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学生</w:t>
            </w:r>
            <w:r>
              <w:rPr>
                <w:rFonts w:hint="eastAsia" w:ascii="仿宋" w:hAnsi="仿宋" w:eastAsia="仿宋" w:cs="仿宋"/>
                <w:color w:val="auto"/>
                <w:sz w:val="24"/>
                <w:szCs w:val="24"/>
              </w:rPr>
              <w:t>与</w:t>
            </w:r>
            <w:r>
              <w:rPr>
                <w:rFonts w:hint="eastAsia" w:ascii="仿宋" w:hAnsi="仿宋" w:eastAsia="仿宋" w:cs="仿宋"/>
                <w:color w:val="auto"/>
                <w:sz w:val="24"/>
                <w:szCs w:val="24"/>
                <w:lang w:val="en-US" w:eastAsia="zh-CN"/>
              </w:rPr>
              <w:t>教育</w:t>
            </w:r>
            <w:r>
              <w:rPr>
                <w:rFonts w:hint="eastAsia" w:ascii="仿宋" w:hAnsi="仿宋" w:eastAsia="仿宋" w:cs="仿宋"/>
                <w:color w:val="auto"/>
                <w:sz w:val="24"/>
                <w:szCs w:val="24"/>
              </w:rPr>
              <w:t>的本质关系出发，深入阐释</w:t>
            </w:r>
            <w:r>
              <w:rPr>
                <w:rFonts w:hint="eastAsia" w:ascii="仿宋" w:hAnsi="仿宋" w:eastAsia="仿宋" w:cs="仿宋"/>
                <w:color w:val="auto"/>
                <w:sz w:val="24"/>
                <w:szCs w:val="24"/>
                <w:lang w:eastAsia="zh-CN"/>
              </w:rPr>
              <w:t>高职院校学前教育专业思政教育与声乐课程互动教学模式</w:t>
            </w:r>
            <w:r>
              <w:rPr>
                <w:rFonts w:hint="eastAsia" w:ascii="仿宋" w:hAnsi="仿宋" w:eastAsia="仿宋" w:cs="仿宋"/>
                <w:color w:val="auto"/>
                <w:sz w:val="24"/>
                <w:szCs w:val="24"/>
              </w:rPr>
              <w:t>的内容、运作过程与运行机理，从学理上就其理论逻辑和实践逻辑进行抽象与分析。</w:t>
            </w:r>
            <w:r>
              <w:rPr>
                <w:rFonts w:hint="eastAsia" w:ascii="仿宋" w:hAnsi="仿宋" w:eastAsia="仿宋" w:cs="仿宋"/>
                <w:color w:val="auto"/>
                <w:sz w:val="24"/>
                <w:szCs w:val="24"/>
                <w:lang w:bidi="ar"/>
              </w:rPr>
              <w:t>而当前我校此类课题的研究基本上也都是围绕着核心素养进行，缺少对“</w:t>
            </w:r>
            <w:r>
              <w:rPr>
                <w:rFonts w:hint="eastAsia" w:ascii="仿宋" w:hAnsi="仿宋" w:eastAsia="仿宋" w:cs="仿宋"/>
                <w:color w:val="auto"/>
                <w:sz w:val="24"/>
                <w:szCs w:val="24"/>
                <w:lang w:eastAsia="zh-CN" w:bidi="ar"/>
              </w:rPr>
              <w:t>高职院校学前教育专业思政教育与声乐课程互动教学</w:t>
            </w:r>
            <w:r>
              <w:rPr>
                <w:rFonts w:hint="eastAsia" w:ascii="仿宋" w:hAnsi="仿宋" w:eastAsia="仿宋" w:cs="仿宋"/>
                <w:color w:val="auto"/>
                <w:sz w:val="24"/>
                <w:szCs w:val="24"/>
                <w:lang w:bidi="ar"/>
              </w:rPr>
              <w:t>”这一个点的深入论述与探讨，因此，选择</w:t>
            </w:r>
            <w:r>
              <w:rPr>
                <w:rFonts w:hint="eastAsia" w:ascii="仿宋" w:hAnsi="仿宋" w:eastAsia="仿宋" w:cs="仿宋"/>
                <w:color w:val="auto"/>
                <w:sz w:val="24"/>
                <w:szCs w:val="24"/>
                <w:lang w:eastAsia="zh-CN" w:bidi="ar"/>
              </w:rPr>
              <w:t>高职院校学前教育专业思政教育与声乐课程互动教学</w:t>
            </w:r>
            <w:r>
              <w:rPr>
                <w:rFonts w:hint="eastAsia" w:ascii="仿宋" w:hAnsi="仿宋" w:eastAsia="仿宋" w:cs="仿宋"/>
                <w:color w:val="auto"/>
                <w:sz w:val="24"/>
                <w:szCs w:val="24"/>
                <w:lang w:bidi="ar"/>
              </w:rPr>
              <w:t>作为研究方向，是当前我校课题研究项目的一个亮点。</w:t>
            </w:r>
          </w:p>
          <w:p w14:paraId="6F63B33A">
            <w:pPr>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bidi="ar"/>
              </w:rPr>
              <w:t>从研究方法的应用分析，此次研究预计采用前测、后测问卷调查的方式，借助前测的过程明确问题，借助后测实验过程了解成果的可行性，两种方式相结合更能够突出课题研究的特征，</w:t>
            </w:r>
            <w:r>
              <w:rPr>
                <w:rFonts w:hint="eastAsia" w:ascii="仿宋" w:hAnsi="仿宋" w:eastAsia="仿宋" w:cs="仿宋"/>
                <w:color w:val="auto"/>
                <w:sz w:val="24"/>
                <w:szCs w:val="24"/>
                <w:lang w:val="en-US" w:eastAsia="zh-CN" w:bidi="ar"/>
              </w:rPr>
              <w:t>并</w:t>
            </w:r>
            <w:r>
              <w:rPr>
                <w:rFonts w:hint="eastAsia" w:ascii="仿宋" w:hAnsi="仿宋" w:eastAsia="仿宋" w:cs="仿宋"/>
                <w:color w:val="auto"/>
                <w:sz w:val="24"/>
                <w:szCs w:val="24"/>
              </w:rPr>
              <w:t>探索构建</w:t>
            </w:r>
            <w:r>
              <w:rPr>
                <w:rFonts w:hint="eastAsia" w:ascii="仿宋" w:hAnsi="仿宋" w:eastAsia="仿宋" w:cs="仿宋"/>
                <w:color w:val="auto"/>
                <w:sz w:val="24"/>
                <w:szCs w:val="24"/>
                <w:lang w:eastAsia="zh-CN"/>
              </w:rPr>
              <w:t>高职院校学前教育专业思政教育与声乐课程互动教学模式</w:t>
            </w:r>
            <w:r>
              <w:rPr>
                <w:rFonts w:hint="eastAsia" w:ascii="仿宋" w:hAnsi="仿宋" w:eastAsia="仿宋" w:cs="仿宋"/>
                <w:color w:val="auto"/>
                <w:sz w:val="24"/>
                <w:szCs w:val="24"/>
              </w:rPr>
              <w:t>的理论分析框架</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引入“</w:t>
            </w:r>
            <w:r>
              <w:rPr>
                <w:rFonts w:hint="eastAsia" w:ascii="仿宋" w:hAnsi="仿宋" w:eastAsia="仿宋" w:cs="仿宋"/>
                <w:color w:val="auto"/>
                <w:sz w:val="24"/>
                <w:szCs w:val="24"/>
                <w:lang w:eastAsia="zh-CN"/>
              </w:rPr>
              <w:t>高职院校学前教育专业思政教育与声乐课程互动教学模式</w:t>
            </w:r>
            <w:r>
              <w:rPr>
                <w:rFonts w:hint="eastAsia" w:ascii="仿宋" w:hAnsi="仿宋" w:eastAsia="仿宋" w:cs="仿宋"/>
                <w:color w:val="auto"/>
                <w:sz w:val="24"/>
                <w:szCs w:val="24"/>
              </w:rPr>
              <w:t>”这一新范畴，进一步提炼</w:t>
            </w:r>
            <w:r>
              <w:rPr>
                <w:rFonts w:hint="eastAsia" w:ascii="仿宋" w:hAnsi="仿宋" w:eastAsia="仿宋" w:cs="仿宋"/>
                <w:color w:val="auto"/>
                <w:sz w:val="24"/>
                <w:szCs w:val="24"/>
                <w:lang w:eastAsia="zh-CN"/>
              </w:rPr>
              <w:t>高职院校学前教育专业思政教育与声乐课程互动教学模式</w:t>
            </w:r>
            <w:r>
              <w:rPr>
                <w:rFonts w:hint="eastAsia" w:ascii="仿宋" w:hAnsi="仿宋" w:eastAsia="仿宋" w:cs="仿宋"/>
                <w:color w:val="auto"/>
                <w:sz w:val="24"/>
                <w:szCs w:val="24"/>
              </w:rPr>
              <w:t>的概念、要素、结构、性质、功能等，为建立</w:t>
            </w:r>
            <w:r>
              <w:rPr>
                <w:rFonts w:hint="eastAsia" w:ascii="仿宋" w:hAnsi="仿宋" w:eastAsia="仿宋" w:cs="仿宋"/>
                <w:color w:val="auto"/>
                <w:sz w:val="24"/>
                <w:szCs w:val="24"/>
                <w:lang w:eastAsia="zh-CN"/>
              </w:rPr>
              <w:t>高职院校学前教育专业思政教育与声乐课程互动教学模式</w:t>
            </w:r>
            <w:r>
              <w:rPr>
                <w:rFonts w:hint="eastAsia" w:ascii="仿宋" w:hAnsi="仿宋" w:eastAsia="仿宋" w:cs="仿宋"/>
                <w:color w:val="auto"/>
                <w:sz w:val="24"/>
                <w:szCs w:val="24"/>
              </w:rPr>
              <w:t>的理论体系打下一定基础。突破了以往</w:t>
            </w:r>
            <w:r>
              <w:rPr>
                <w:rFonts w:hint="eastAsia" w:ascii="仿宋" w:hAnsi="仿宋" w:eastAsia="仿宋" w:cs="仿宋"/>
                <w:color w:val="auto"/>
                <w:sz w:val="24"/>
                <w:szCs w:val="24"/>
                <w:lang w:eastAsia="zh-CN"/>
              </w:rPr>
              <w:t>研究，</w:t>
            </w:r>
            <w:r>
              <w:rPr>
                <w:rFonts w:hint="eastAsia" w:ascii="仿宋" w:hAnsi="仿宋" w:eastAsia="仿宋" w:cs="仿宋"/>
                <w:color w:val="auto"/>
                <w:sz w:val="24"/>
                <w:szCs w:val="24"/>
              </w:rPr>
              <w:t>偏重</w:t>
            </w:r>
            <w:r>
              <w:rPr>
                <w:rFonts w:hint="eastAsia" w:ascii="仿宋" w:hAnsi="仿宋" w:eastAsia="仿宋" w:cs="仿宋"/>
                <w:color w:val="auto"/>
                <w:sz w:val="24"/>
                <w:szCs w:val="24"/>
                <w:lang w:val="en-US" w:eastAsia="zh-CN"/>
              </w:rPr>
              <w:t>理论</w:t>
            </w:r>
            <w:r>
              <w:rPr>
                <w:rFonts w:hint="eastAsia" w:ascii="仿宋" w:hAnsi="仿宋" w:eastAsia="仿宋" w:cs="仿宋"/>
                <w:color w:val="auto"/>
                <w:sz w:val="24"/>
                <w:szCs w:val="24"/>
              </w:rPr>
              <w:t>解读的常规路径。</w:t>
            </w:r>
          </w:p>
          <w:p w14:paraId="5556E36C">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（六）反思与改进</w:t>
            </w:r>
          </w:p>
          <w:p w14:paraId="0B0E03AB">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rPr>
              <w:t>综上所述</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在后续的教学中需要促使单一的“声乐课”向“课程思政”进行转化，帮助教师处理好“思政道德引领”和“专业知识传授”之间的关系；明确学前教育专业学生的培养目标，在提高学生综合职业技术素养的基础上，对学生进行思政教育，培养学生的育人意识和人文素养；教学中需结合思政教育理念制定全新的声乐课程教学标准，将思政教育元素贯穿于声乐教学中，推动声乐教学课程新标准的设立，注重对学生的道德品质和人文素养进行深造。</w:t>
            </w:r>
          </w:p>
          <w:p w14:paraId="66BF04AE">
            <w:pPr>
              <w:spacing w:line="560" w:lineRule="exact"/>
              <w:rPr>
                <w:rFonts w:ascii="Times New Roman" w:hAnsi="Times New Roman" w:eastAsia="仿宋_GB2312" w:cs="Times New Roman"/>
                <w:sz w:val="24"/>
              </w:rPr>
            </w:pPr>
          </w:p>
        </w:tc>
      </w:tr>
    </w:tbl>
    <w:p w14:paraId="4D598EF0">
      <w:pPr>
        <w:pStyle w:val="11"/>
        <w:ind w:firstLine="210"/>
        <w:rPr>
          <w:rFonts w:hint="eastAsia" w:eastAsia="宋体"/>
          <w:lang w:eastAsia="zh-CN"/>
        </w:rPr>
      </w:pPr>
      <w:bookmarkStart w:id="0" w:name="_GoBack"/>
      <w:r>
        <w:rPr>
          <w:rFonts w:hint="eastAsia" w:eastAsia="宋体"/>
          <w:lang w:eastAsia="zh-CN"/>
        </w:rPr>
        <w:drawing>
          <wp:inline distT="0" distB="0" distL="114300" distR="114300">
            <wp:extent cx="5274310" cy="2752090"/>
            <wp:effectExtent l="0" t="0" r="2540" b="10160"/>
            <wp:docPr id="6" name="图片 6" descr="微信图片_2024022016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220165859"/>
                    <pic:cNvPicPr>
                      <a:picLocks noChangeAspect="1"/>
                    </pic:cNvPicPr>
                  </pic:nvPicPr>
                  <pic:blipFill>
                    <a:blip r:embed="rId8"/>
                    <a:stretch>
                      <a:fillRect/>
                    </a:stretch>
                  </pic:blipFill>
                  <pic:spPr>
                    <a:xfrm>
                      <a:off x="0" y="0"/>
                      <a:ext cx="5274310" cy="2752090"/>
                    </a:xfrm>
                    <a:prstGeom prst="rect">
                      <a:avLst/>
                    </a:prstGeom>
                  </pic:spPr>
                </pic:pic>
              </a:graphicData>
            </a:graphic>
          </wp:inline>
        </w:drawing>
      </w:r>
      <w:bookmarkEnd w:id="0"/>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FangSong_utf-8">
    <w:altName w:val="宋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1" w:usb1="080E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0000000000000000000"/>
    <w:charset w:val="86"/>
    <w:family w:val="script"/>
    <w:pitch w:val="default"/>
    <w:sig w:usb0="00000001" w:usb1="080E0000" w:usb2="00000010" w:usb3="00000000" w:csb0="00040000" w:csb1="00000000"/>
  </w:font>
  <w:font w:name="Segoe UI">
    <w:panose1 w:val="020B0502040204020203"/>
    <w:charset w:val="00"/>
    <w:family w:val="auto"/>
    <w:pitch w:val="default"/>
    <w:sig w:usb0="E4002EFF" w:usb1="C000E47F" w:usb2="00000009" w:usb3="00000000" w:csb0="200001FF" w:csb1="00000000"/>
  </w:font>
  <w:font w:name="汉仪唐美人简">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4AB31">
    <w:pPr>
      <w:pStyle w:val="7"/>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B50535">
                          <w:pPr>
                            <w:snapToGrid w:val="0"/>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7ReE8wBAACnAwAADgAAAGRycy9lMm9Eb2MueG1srVPNjtMwEL4j8Q6W&#10;7zRpJ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abmrzlzwtKDX75/u/z4dfn5lS2T&#10;PH3AiqoeAtXF4c4PtDRzHCmYWA8t2PQlPozyJO75Kq4aIpPp0nq1XpeUkpSbHcIvHq8HwPhWecuS&#10;UXOg18uiitN7jGPpXJK6OX+vjckvaNxfAcIcIyqvwHQ7MRknTlYc9sNEb++bM7HraQ1q7mjrOTPv&#10;HKmcNmY2YDb2s3EMoA9dXqnUHcPtMdJIedLUYYQlhsmh98tcp11LC/Knn6se/6/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jtF4TzAEAAKcDAAAOAAAAAAAAAAEAIAAAAB4BAABkcnMvZTJv&#10;RG9jLnhtbFBLBQYAAAAABgAGAFkBAABcBQAAAAA=&#10;">
              <v:fill on="f" focussize="0,0"/>
              <v:stroke on="f"/>
              <v:imagedata o:title=""/>
              <o:lock v:ext="edit" aspectratio="f"/>
              <v:textbox inset="0mm,0mm,0mm,0mm" style="mso-fit-shape-to-text:t;">
                <w:txbxContent>
                  <w:p w14:paraId="6AB50535">
                    <w:pPr>
                      <w:snapToGrid w:val="0"/>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A8E2E"/>
    <w:multiLevelType w:val="singleLevel"/>
    <w:tmpl w:val="F26A8E2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lNGJiZDg3OWQ1ZWEyOTY1MjQwMDQ1NDdlNjg3YjQifQ=="/>
  </w:docVars>
  <w:rsids>
    <w:rsidRoot w:val="00CC0CE7"/>
    <w:rsid w:val="000E65E3"/>
    <w:rsid w:val="00163A46"/>
    <w:rsid w:val="00167802"/>
    <w:rsid w:val="00242AC9"/>
    <w:rsid w:val="00254143"/>
    <w:rsid w:val="00334684"/>
    <w:rsid w:val="004C7594"/>
    <w:rsid w:val="00556375"/>
    <w:rsid w:val="00580472"/>
    <w:rsid w:val="00677F4D"/>
    <w:rsid w:val="007224B0"/>
    <w:rsid w:val="007A59FA"/>
    <w:rsid w:val="008A5930"/>
    <w:rsid w:val="009A2EAD"/>
    <w:rsid w:val="00A87173"/>
    <w:rsid w:val="00C561AE"/>
    <w:rsid w:val="00CA51AD"/>
    <w:rsid w:val="00CC0CE7"/>
    <w:rsid w:val="00CF5611"/>
    <w:rsid w:val="00F745F2"/>
    <w:rsid w:val="03D80768"/>
    <w:rsid w:val="20EA73AA"/>
    <w:rsid w:val="26425D0F"/>
    <w:rsid w:val="28AF3190"/>
    <w:rsid w:val="29EC2258"/>
    <w:rsid w:val="29F36060"/>
    <w:rsid w:val="361D036E"/>
    <w:rsid w:val="396079FE"/>
    <w:rsid w:val="3B1E6AC4"/>
    <w:rsid w:val="44DF3B1D"/>
    <w:rsid w:val="467D06AE"/>
    <w:rsid w:val="48176925"/>
    <w:rsid w:val="4CE724BF"/>
    <w:rsid w:val="5DE0768A"/>
    <w:rsid w:val="6378286E"/>
    <w:rsid w:val="666B233F"/>
    <w:rsid w:val="69937D5A"/>
    <w:rsid w:val="6D850F17"/>
    <w:rsid w:val="71CF58C4"/>
    <w:rsid w:val="75B275F6"/>
    <w:rsid w:val="770C3233"/>
    <w:rsid w:val="7B36784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cs="Calibri"/>
      <w:kern w:val="2"/>
      <w:sz w:val="21"/>
      <w:szCs w:val="21"/>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4">
    <w:name w:val="heading 3"/>
    <w:basedOn w:val="1"/>
    <w:next w:val="1"/>
    <w:uiPriority w:val="0"/>
    <w:pPr>
      <w:keepNext/>
      <w:keepLines/>
      <w:spacing w:before="260" w:beforeLines="0" w:beforeAutospacing="0" w:after="260" w:afterLines="0" w:afterAutospacing="0" w:line="413" w:lineRule="auto"/>
      <w:outlineLvl w:val="2"/>
    </w:pPr>
    <w:rPr>
      <w:rFonts w:ascii="Times New Roman" w:hAnsi="Times New Roman" w:eastAsia="楷体"/>
      <w:b/>
      <w:sz w:val="24"/>
    </w:rPr>
  </w:style>
  <w:style w:type="character" w:default="1" w:styleId="14">
    <w:name w:val="Default Paragraph Font"/>
    <w:semiHidden/>
    <w:qFormat/>
    <w:uiPriority w:val="0"/>
  </w:style>
  <w:style w:type="table" w:default="1" w:styleId="12">
    <w:name w:val="Normal Table"/>
    <w:semiHidden/>
    <w:uiPriority w:val="0"/>
    <w:tblPr>
      <w:tblStyle w:val="12"/>
      <w:tblCellMar>
        <w:top w:w="0" w:type="dxa"/>
        <w:left w:w="108" w:type="dxa"/>
        <w:bottom w:w="0" w:type="dxa"/>
        <w:right w:w="108" w:type="dxa"/>
      </w:tblCellMar>
    </w:tblPr>
  </w:style>
  <w:style w:type="paragraph" w:styleId="2">
    <w:name w:val="Body Text Indent 2"/>
    <w:basedOn w:val="1"/>
    <w:qFormat/>
    <w:uiPriority w:val="0"/>
    <w:pPr>
      <w:snapToGrid w:val="0"/>
      <w:spacing w:line="336" w:lineRule="auto"/>
      <w:ind w:firstLine="555"/>
    </w:pPr>
    <w:rPr>
      <w:rFonts w:ascii="Times New Roman" w:hAnsi="Times New Roman" w:eastAsia="FangSong_utf-8" w:cs="宋体"/>
      <w:spacing w:val="-2"/>
      <w:sz w:val="30"/>
      <w:szCs w:val="20"/>
    </w:rPr>
  </w:style>
  <w:style w:type="paragraph" w:styleId="5">
    <w:name w:val="Body Text"/>
    <w:basedOn w:val="1"/>
    <w:uiPriority w:val="0"/>
    <w:pPr>
      <w:ind w:left="151"/>
    </w:pPr>
    <w:rPr>
      <w:rFonts w:ascii="宋体" w:hAnsi="宋体" w:eastAsia="宋体" w:cs="宋体"/>
      <w:sz w:val="28"/>
      <w:szCs w:val="28"/>
      <w:lang w:val="zh-CN" w:bidi="zh-CN"/>
    </w:rPr>
  </w:style>
  <w:style w:type="paragraph" w:styleId="6">
    <w:name w:val="Balloon Text"/>
    <w:basedOn w:val="1"/>
    <w:link w:val="19"/>
    <w:uiPriority w:val="0"/>
    <w:rPr>
      <w:sz w:val="18"/>
      <w:szCs w:val="18"/>
    </w:rPr>
  </w:style>
  <w:style w:type="paragraph" w:styleId="7">
    <w:name w:val="footer"/>
    <w:basedOn w:val="1"/>
    <w:uiPriority w:val="0"/>
    <w:pPr>
      <w:tabs>
        <w:tab w:val="center" w:pos="4153"/>
        <w:tab w:val="right" w:pos="8306"/>
      </w:tabs>
      <w:snapToGrid w:val="0"/>
      <w:jc w:val="left"/>
    </w:pPr>
    <w:rPr>
      <w:rFonts w:ascii="Times New Roman" w:hAnsi="Times New Roman" w:cs="Times New Roman"/>
      <w:kern w:val="0"/>
      <w:sz w:val="18"/>
      <w:szCs w:val="18"/>
    </w:rPr>
  </w:style>
  <w:style w:type="paragraph" w:styleId="8">
    <w:name w:val="header"/>
    <w:basedOn w:val="1"/>
    <w:link w:val="20"/>
    <w:uiPriority w:val="0"/>
    <w:pPr>
      <w:pBdr>
        <w:bottom w:val="single" w:color="auto" w:sz="6" w:space="1"/>
      </w:pBdr>
      <w:tabs>
        <w:tab w:val="center" w:pos="4153"/>
        <w:tab w:val="right" w:pos="8306"/>
      </w:tabs>
      <w:snapToGrid w:val="0"/>
      <w:jc w:val="center"/>
    </w:pPr>
    <w:rPr>
      <w:sz w:val="18"/>
      <w:szCs w:val="18"/>
    </w:rPr>
  </w:style>
  <w:style w:type="paragraph" w:styleId="9">
    <w:name w:val="footnote text"/>
    <w:basedOn w:val="1"/>
    <w:uiPriority w:val="0"/>
    <w:pPr>
      <w:snapToGrid w:val="0"/>
      <w:jc w:val="left"/>
    </w:pPr>
    <w:rPr>
      <w:sz w:val="18"/>
      <w:szCs w:val="18"/>
    </w:rPr>
  </w:style>
  <w:style w:type="paragraph" w:styleId="10">
    <w:name w:val="Normal (Web)"/>
    <w:basedOn w:val="1"/>
    <w:uiPriority w:val="0"/>
    <w:pPr>
      <w:spacing w:before="100" w:beforeAutospacing="1" w:after="100" w:afterAutospacing="1"/>
      <w:ind w:left="0" w:right="0"/>
      <w:jc w:val="left"/>
    </w:pPr>
    <w:rPr>
      <w:kern w:val="0"/>
      <w:sz w:val="24"/>
      <w:lang w:val="en-US" w:eastAsia="zh-CN" w:bidi="ar"/>
    </w:rPr>
  </w:style>
  <w:style w:type="paragraph" w:styleId="11">
    <w:name w:val="Body Text First Indent"/>
    <w:basedOn w:val="5"/>
    <w:uiPriority w:val="0"/>
    <w:pPr>
      <w:spacing w:before="0" w:beforeAutospacing="0" w:after="120" w:afterAutospacing="0"/>
      <w:ind w:left="0" w:firstLine="420" w:firstLineChars="100"/>
    </w:pPr>
    <w:rPr>
      <w:rFonts w:ascii="Times New Roman" w:hAnsi="Times New Roman" w:eastAsia="宋体" w:cs="Times New Roman"/>
      <w:sz w:val="21"/>
      <w:szCs w:val="20"/>
    </w:rPr>
  </w:style>
  <w:style w:type="table" w:styleId="13">
    <w:name w:val="Table Grid"/>
    <w:basedOn w:val="12"/>
    <w:uiPriority w:val="0"/>
    <w:pPr>
      <w:widowControl w:val="0"/>
      <w:jc w:val="both"/>
    </w:pPr>
    <w:tblPr>
      <w:tblStyle w:val="1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uiPriority w:val="0"/>
  </w:style>
  <w:style w:type="character" w:styleId="16">
    <w:name w:val="Emphasis"/>
    <w:qFormat/>
    <w:uiPriority w:val="0"/>
    <w:rPr>
      <w:i/>
    </w:rPr>
  </w:style>
  <w:style w:type="character" w:styleId="17">
    <w:name w:val="Hyperlink"/>
    <w:uiPriority w:val="0"/>
    <w:rPr>
      <w:color w:val="0563C1"/>
      <w:u w:val="single"/>
    </w:rPr>
  </w:style>
  <w:style w:type="character" w:styleId="18">
    <w:name w:val="footnote reference"/>
    <w:uiPriority w:val="0"/>
    <w:rPr>
      <w:vertAlign w:val="superscript"/>
    </w:rPr>
  </w:style>
  <w:style w:type="character" w:customStyle="1" w:styleId="19">
    <w:name w:val="批注框文本 字符"/>
    <w:link w:val="6"/>
    <w:uiPriority w:val="0"/>
    <w:rPr>
      <w:rFonts w:ascii="Calibri" w:hAnsi="Calibri" w:cs="Calibri"/>
      <w:kern w:val="2"/>
      <w:sz w:val="18"/>
      <w:szCs w:val="18"/>
    </w:rPr>
  </w:style>
  <w:style w:type="character" w:customStyle="1" w:styleId="20">
    <w:name w:val="页眉 字符"/>
    <w:link w:val="8"/>
    <w:uiPriority w:val="0"/>
    <w:rPr>
      <w:rFonts w:ascii="Calibri" w:hAnsi="Calibri" w:cs="Calibri"/>
      <w:kern w:val="2"/>
      <w:sz w:val="18"/>
      <w:szCs w:val="18"/>
    </w:rPr>
  </w:style>
  <w:style w:type="paragraph" w:customStyle="1" w:styleId="21">
    <w:name w:val="附件格式"/>
    <w:basedOn w:val="22"/>
    <w:qFormat/>
    <w:uiPriority w:val="0"/>
    <w:pPr>
      <w:ind w:firstLine="0" w:firstLineChars="0"/>
    </w:pPr>
    <w:rPr>
      <w:rFonts w:ascii="黑体" w:hAnsi="黑体" w:eastAsia="黑体" w:cs="黑体"/>
    </w:rPr>
  </w:style>
  <w:style w:type="paragraph" w:customStyle="1" w:styleId="22">
    <w:name w:val="公文正文"/>
    <w:basedOn w:val="1"/>
    <w:qFormat/>
    <w:uiPriority w:val="0"/>
    <w:pPr>
      <w:spacing w:line="560" w:lineRule="exact"/>
      <w:ind w:firstLine="640" w:firstLineChars="200"/>
    </w:pPr>
    <w:rPr>
      <w:rFonts w:ascii="仿宋_GB2312" w:hAnsi="Times New Roman" w:eastAsia="仿宋"/>
      <w:sz w:val="32"/>
    </w:rPr>
  </w:style>
  <w:style w:type="paragraph" w:customStyle="1" w:styleId="23">
    <w:name w:val="样式1"/>
    <w:basedOn w:val="1"/>
    <w:qFormat/>
    <w:uiPriority w:val="0"/>
  </w:style>
  <w:style w:type="paragraph" w:customStyle="1" w:styleId="24">
    <w:name w:val="标题格式"/>
    <w:basedOn w:val="25"/>
    <w:qFormat/>
    <w:uiPriority w:val="0"/>
  </w:style>
  <w:style w:type="paragraph" w:customStyle="1" w:styleId="25">
    <w:name w:val="公文标题"/>
    <w:basedOn w:val="1"/>
    <w:next w:val="26"/>
    <w:qFormat/>
    <w:uiPriority w:val="2"/>
    <w:pPr>
      <w:spacing w:line="560" w:lineRule="exact"/>
      <w:jc w:val="center"/>
    </w:pPr>
    <w:rPr>
      <w:rFonts w:ascii="方正小标宋简体" w:hAnsi="方正小标宋简体" w:eastAsia="方正小标宋简体"/>
      <w:sz w:val="44"/>
    </w:rPr>
  </w:style>
  <w:style w:type="paragraph" w:customStyle="1" w:styleId="26">
    <w:name w:val="无缩进正文"/>
    <w:basedOn w:val="1"/>
    <w:qFormat/>
    <w:uiPriority w:val="0"/>
    <w:pPr>
      <w:spacing w:line="560" w:lineRule="exact"/>
    </w:pPr>
    <w:rPr>
      <w:rFonts w:ascii="Times New Roman" w:hAnsi="Times New Roman" w:eastAsia="仿宋_GB2312"/>
      <w:sz w:val="32"/>
    </w:rPr>
  </w:style>
  <w:style w:type="paragraph" w:customStyle="1" w:styleId="27">
    <w:name w:val="公文小标题"/>
    <w:basedOn w:val="1"/>
    <w:qFormat/>
    <w:uiPriority w:val="0"/>
    <w:pPr>
      <w:spacing w:line="560" w:lineRule="exact"/>
      <w:ind w:firstLine="643" w:firstLineChars="200"/>
    </w:pPr>
    <w:rPr>
      <w:rFonts w:ascii="黑体" w:hAnsi="黑体" w:eastAsia="黑体" w:cs="Times New Roman"/>
      <w:b/>
      <w:sz w:val="32"/>
      <w:szCs w:val="32"/>
    </w:rPr>
  </w:style>
  <w:style w:type="paragraph" w:customStyle="1" w:styleId="28">
    <w:name w:val="大标题格式"/>
    <w:basedOn w:val="27"/>
    <w:qFormat/>
    <w:uiPriority w:val="0"/>
    <w:pPr>
      <w:ind w:firstLine="640"/>
    </w:pPr>
    <w:rPr>
      <w:b w:val="0"/>
      <w:bCs/>
    </w:rPr>
  </w:style>
  <w:style w:type="character" w:styleId="29">
    <w:name w:val=""/>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tags>
    <s:tag s:spid="_x0000_s1026">
      <s:item s:name="KSO_DOCER_RESOURCE_TRACE_INFO" s:val="{&quot;id&quot;:&quot;25002104&quot;,&quot;origin&quot;:0,&quot;type&quot;:&quot;wordart&quot;,&quot;user&quot;:&quot;628487989&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3197</Words>
  <Characters>3326</Characters>
  <Lines>18</Lines>
  <Paragraphs>5</Paragraphs>
  <TotalTime>33</TotalTime>
  <ScaleCrop>false</ScaleCrop>
  <LinksUpToDate>false</LinksUpToDate>
  <CharactersWithSpaces>3405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2022-02-17T09:09:00Z</dcterms:created>
  <dc:creator>周宪章</dc:creator>
  <cp:lastModifiedBy>老根</cp:lastModifiedBy>
  <cp:lastPrinted>2022-11-01T00:39:00Z</cp:lastPrinted>
  <dcterms:modified xsi:type="dcterms:W3CDTF">2024-09-09T03:20:25Z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0FB404992EB740A192DBB8AC53327249_13</vt:lpwstr>
  </property>
</Properties>
</file>